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BED0E" w14:textId="77777777" w:rsidR="00BC53DC" w:rsidRDefault="00BC53DC" w:rsidP="00BC53DC">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
          <w:sz w:val="28"/>
          <w:szCs w:val="28"/>
        </w:rPr>
        <w:tab/>
      </w:r>
      <w:r>
        <w:rPr>
          <w:rFonts w:ascii="Times New Roman" w:hAnsi="Times New Roman" w:cs="Times New Roman"/>
          <w:bCs/>
          <w:color w:val="000000"/>
          <w:sz w:val="24"/>
          <w:szCs w:val="24"/>
        </w:rPr>
        <w:t>УТВЕРЖДЕНО</w:t>
      </w:r>
    </w:p>
    <w:p w14:paraId="37E20E2C" w14:textId="77777777" w:rsidR="00BC53DC" w:rsidRDefault="00BC53DC" w:rsidP="00BC53DC">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приказом № 17А/ 01-09 от 05.09.2019 года </w:t>
      </w:r>
    </w:p>
    <w:p w14:paraId="20BCA181" w14:textId="77777777" w:rsidR="00BC53DC" w:rsidRDefault="00BC53DC" w:rsidP="00BC53DC">
      <w:pPr>
        <w:autoSpaceDE w:val="0"/>
        <w:autoSpaceDN w:val="0"/>
        <w:adjustRightInd w:val="0"/>
        <w:spacing w:after="40" w:line="240" w:lineRule="auto"/>
        <w:rPr>
          <w:rFonts w:ascii="Times New Roman" w:hAnsi="Times New Roman" w:cs="Times New Roman"/>
          <w:b/>
          <w:sz w:val="28"/>
          <w:szCs w:val="28"/>
        </w:rPr>
      </w:pPr>
    </w:p>
    <w:p w14:paraId="64D5DA21" w14:textId="03B0626D" w:rsidR="000E242B" w:rsidRPr="00AB6768" w:rsidRDefault="000E242B" w:rsidP="000E242B">
      <w:pPr>
        <w:autoSpaceDE w:val="0"/>
        <w:autoSpaceDN w:val="0"/>
        <w:adjustRightInd w:val="0"/>
        <w:spacing w:after="40" w:line="240" w:lineRule="auto"/>
        <w:jc w:val="center"/>
        <w:rPr>
          <w:rFonts w:ascii="Times New Roman" w:hAnsi="Times New Roman" w:cs="Times New Roman"/>
          <w:b/>
          <w:sz w:val="28"/>
          <w:szCs w:val="28"/>
        </w:rPr>
      </w:pPr>
      <w:r w:rsidRPr="00AB6768">
        <w:rPr>
          <w:rFonts w:ascii="Times New Roman" w:hAnsi="Times New Roman" w:cs="Times New Roman"/>
          <w:b/>
          <w:sz w:val="28"/>
          <w:szCs w:val="28"/>
        </w:rPr>
        <w:t>Положение об антикоррупционной политике</w:t>
      </w:r>
    </w:p>
    <w:p w14:paraId="4AAAA826" w14:textId="02642458" w:rsidR="000E242B" w:rsidRPr="00F84DD4" w:rsidRDefault="00F84DD4" w:rsidP="00F84DD4">
      <w:pPr>
        <w:autoSpaceDE w:val="0"/>
        <w:autoSpaceDN w:val="0"/>
        <w:adjustRightInd w:val="0"/>
        <w:spacing w:after="40" w:line="240" w:lineRule="auto"/>
        <w:jc w:val="center"/>
        <w:rPr>
          <w:rFonts w:ascii="Times New Roman" w:hAnsi="Times New Roman" w:cs="Times New Roman"/>
          <w:b/>
          <w:bCs/>
          <w:i/>
          <w:sz w:val="28"/>
          <w:szCs w:val="28"/>
        </w:rPr>
      </w:pPr>
      <w:r w:rsidRPr="00F84DD4">
        <w:rPr>
          <w:rFonts w:ascii="Times New Roman" w:hAnsi="Times New Roman" w:cs="Times New Roman"/>
          <w:b/>
          <w:bCs/>
          <w:sz w:val="28"/>
          <w:szCs w:val="28"/>
        </w:rPr>
        <w:t xml:space="preserve">муниципального бюджетного учреждения дополнительного образования «Приморская </w:t>
      </w:r>
      <w:proofErr w:type="spellStart"/>
      <w:r w:rsidRPr="00F84DD4">
        <w:rPr>
          <w:rFonts w:ascii="Times New Roman" w:hAnsi="Times New Roman" w:cs="Times New Roman"/>
          <w:b/>
          <w:bCs/>
          <w:sz w:val="28"/>
          <w:szCs w:val="28"/>
        </w:rPr>
        <w:t>детско</w:t>
      </w:r>
      <w:proofErr w:type="spellEnd"/>
      <w:r w:rsidRPr="00F84DD4">
        <w:rPr>
          <w:rFonts w:ascii="Times New Roman" w:hAnsi="Times New Roman" w:cs="Times New Roman"/>
          <w:b/>
          <w:bCs/>
          <w:sz w:val="28"/>
          <w:szCs w:val="28"/>
        </w:rPr>
        <w:t xml:space="preserve"> – юношеская спортивная школа»</w:t>
      </w:r>
      <w:r w:rsidR="000E242B" w:rsidRPr="00F84DD4">
        <w:rPr>
          <w:rFonts w:ascii="Times New Roman" w:hAnsi="Times New Roman" w:cs="Times New Roman"/>
          <w:b/>
          <w:bCs/>
          <w:i/>
          <w:sz w:val="28"/>
          <w:szCs w:val="28"/>
        </w:rPr>
        <w:t xml:space="preserve"> </w:t>
      </w:r>
    </w:p>
    <w:p w14:paraId="1001A46E" w14:textId="77777777" w:rsidR="000E242B" w:rsidRPr="00F84DD4" w:rsidRDefault="000E242B" w:rsidP="000E242B">
      <w:pPr>
        <w:autoSpaceDE w:val="0"/>
        <w:autoSpaceDN w:val="0"/>
        <w:adjustRightInd w:val="0"/>
        <w:spacing w:after="0" w:line="240" w:lineRule="auto"/>
        <w:jc w:val="center"/>
        <w:rPr>
          <w:rFonts w:ascii="Times New Roman" w:hAnsi="Times New Roman" w:cs="Times New Roman"/>
          <w:b/>
          <w:bCs/>
          <w:sz w:val="28"/>
          <w:szCs w:val="28"/>
        </w:rPr>
      </w:pPr>
    </w:p>
    <w:p w14:paraId="2A0DD5A5" w14:textId="77777777" w:rsidR="000E242B" w:rsidRDefault="000E242B" w:rsidP="000E242B">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Общие положения</w:t>
      </w:r>
    </w:p>
    <w:p w14:paraId="6FC9F1EE" w14:textId="75F0B0EB"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Антикоррупционная политика </w:t>
      </w:r>
      <w:bookmarkStart w:id="0" w:name="_Hlk78366535"/>
      <w:r w:rsidR="00F84DD4" w:rsidRPr="00F84DD4">
        <w:rPr>
          <w:rFonts w:ascii="Times New Roman" w:hAnsi="Times New Roman" w:cs="Times New Roman"/>
          <w:color w:val="000000"/>
          <w:sz w:val="24"/>
          <w:szCs w:val="24"/>
        </w:rPr>
        <w:t>МБУ ДО «Приморская ДЮСШ»</w:t>
      </w:r>
      <w:r>
        <w:rPr>
          <w:rFonts w:ascii="Times New Roman" w:hAnsi="Times New Roman" w:cs="Times New Roman"/>
          <w:i/>
          <w:iCs/>
          <w:color w:val="000000"/>
          <w:sz w:val="24"/>
          <w:szCs w:val="24"/>
        </w:rPr>
        <w:t xml:space="preserve"> </w:t>
      </w:r>
      <w:bookmarkEnd w:id="0"/>
      <w:r>
        <w:rPr>
          <w:rFonts w:ascii="Times New Roman" w:hAnsi="Times New Roman" w:cs="Times New Roman"/>
          <w:color w:val="000000"/>
          <w:sz w:val="24"/>
          <w:szCs w:val="24"/>
        </w:rPr>
        <w:t xml:space="preserve">представляет собой комплекс закрепленных в настоящем Положении взаимосвязанных принципов, процедур и мероприятий, направленных на профилактику и пресечение коррупционных правонарушений в деятельности </w:t>
      </w:r>
      <w:r w:rsidR="00F84DD4" w:rsidRPr="00F84DD4">
        <w:rPr>
          <w:rFonts w:ascii="Times New Roman" w:hAnsi="Times New Roman" w:cs="Times New Roman"/>
          <w:color w:val="000000"/>
          <w:sz w:val="24"/>
          <w:szCs w:val="24"/>
        </w:rPr>
        <w:t>МБУ ДО «Приморская ДЮСШ»</w:t>
      </w:r>
      <w:r w:rsidR="00F84DD4">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 xml:space="preserve">(далее – Учреждение). </w:t>
      </w:r>
    </w:p>
    <w:p w14:paraId="3153333E" w14:textId="37C1C752"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color w:val="000000"/>
          <w:sz w:val="24"/>
          <w:szCs w:val="24"/>
        </w:rPr>
        <w:t>2. Настоящее Положение основано на нормах Конституции Российской Федерации, Федераль</w:t>
      </w:r>
      <w:r>
        <w:rPr>
          <w:rFonts w:ascii="Times New Roman" w:hAnsi="Times New Roman" w:cs="Times New Roman"/>
          <w:color w:val="000000"/>
          <w:sz w:val="24"/>
          <w:szCs w:val="24"/>
        </w:rPr>
        <w:softHyphen/>
        <w:t xml:space="preserve">ного закона от 25 декабря 2008 г. № 273-ФЗ «О противодействии коррупции», Федерального закона от </w:t>
      </w:r>
      <w:r>
        <w:rPr>
          <w:rFonts w:ascii="Times New Roman" w:hAnsi="Times New Roman" w:cs="Times New Roman"/>
          <w:bCs/>
          <w:color w:val="000000"/>
          <w:sz w:val="24"/>
          <w:szCs w:val="24"/>
        </w:rPr>
        <w:t>5 апреля 2013 г. № 44-ФЗ «О контрактной системе в сфере закупок товаров, работ, услуг для обеспечения государственных и муниципальных нужд»</w:t>
      </w:r>
      <w:r w:rsidR="00F84DD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и разработано с учетом Методических рекомендаций по разработке и принятию организациями мер по предупреждению и противодействию коррупции, разработанных Министерством труда и социальной защиты Российской Федерации, Устава Учреждения и других локальных актов Учреждения. </w:t>
      </w:r>
    </w:p>
    <w:p w14:paraId="5FE1AE0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3. Целями антикоррупционной политики Учреждения являются: </w:t>
      </w:r>
    </w:p>
    <w:p w14:paraId="6FDF5BC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обеспечение соответствия деятельности Учреждения требованиям антикоррупционного законодательства; </w:t>
      </w:r>
    </w:p>
    <w:p w14:paraId="66D1A5F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минимизация рисков вовлечения Учреждения и его работников в коррупционную деятельность; </w:t>
      </w:r>
    </w:p>
    <w:p w14:paraId="13D883C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формирование единого подхода к организации работы по предупреждению коррупции в Учреждении; </w:t>
      </w:r>
    </w:p>
    <w:p w14:paraId="7444C9C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формирование у работников Учреждения нетерпимости к коррупционному поведению. </w:t>
      </w:r>
    </w:p>
    <w:p w14:paraId="0DFDB8A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4. Задачами антикоррупционной политики Учреждения являются: </w:t>
      </w:r>
    </w:p>
    <w:p w14:paraId="59A0AA2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определение должностных лиц Учреждения, ответственных за реализацию антикоррупционной политики Учреждения; </w:t>
      </w:r>
    </w:p>
    <w:p w14:paraId="03ACF78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информирование работников Учреждения о нормативном правовом обеспечении работы по предупреждению коррупции и ответственности за совершение коррупционных правонарушений; </w:t>
      </w:r>
    </w:p>
    <w:p w14:paraId="1D9FFF6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определение основных принципов работы по предупреждению коррупции в Учреждении; </w:t>
      </w:r>
    </w:p>
    <w:p w14:paraId="1E170A8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разработка и реализация мер, направленных на профилактику и противодействие коррупции в Учреждении; </w:t>
      </w:r>
    </w:p>
    <w:p w14:paraId="74FCE37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закрепление ответственности работников Учреждения за несоблюдение требований антикоррупционной политики Учреждения. </w:t>
      </w:r>
    </w:p>
    <w:p w14:paraId="24B046E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 Для целей настоящего Положения используются следующие основные понятия: </w:t>
      </w:r>
    </w:p>
    <w:p w14:paraId="199D7FD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коррупция</w:t>
      </w:r>
      <w:r>
        <w:rPr>
          <w:rFonts w:ascii="Times New Roman" w:hAnsi="Times New Roman" w:cs="Times New Roman"/>
          <w:bCs/>
          <w:color w:val="000000"/>
          <w:sz w:val="24"/>
          <w:szCs w:val="24"/>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 </w:t>
      </w:r>
    </w:p>
    <w:p w14:paraId="4A3D0B4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взятка </w:t>
      </w:r>
      <w:r>
        <w:rPr>
          <w:rFonts w:ascii="Times New Roman" w:hAnsi="Times New Roman" w:cs="Times New Roman"/>
          <w:bCs/>
          <w:color w:val="000000"/>
          <w:sz w:val="24"/>
          <w:szCs w:val="24"/>
        </w:rPr>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незаконное оказание ему услуг </w:t>
      </w:r>
      <w:r>
        <w:rPr>
          <w:rFonts w:ascii="Times New Roman" w:hAnsi="Times New Roman" w:cs="Times New Roman"/>
          <w:bCs/>
          <w:color w:val="000000"/>
          <w:sz w:val="24"/>
          <w:szCs w:val="24"/>
        </w:rPr>
        <w:lastRenderedPageBreak/>
        <w:t xml:space="preserve">имущественного характера, предоставление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14:paraId="22E59B6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коммерческий подкуп</w:t>
      </w:r>
      <w:r>
        <w:rPr>
          <w:rFonts w:ascii="Times New Roman" w:hAnsi="Times New Roman" w:cs="Times New Roman"/>
          <w:bCs/>
          <w:color w:val="000000"/>
          <w:sz w:val="24"/>
          <w:szCs w:val="24"/>
        </w:rPr>
        <w:t xml:space="preserve">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p>
    <w:p w14:paraId="5D8769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противодействие коррупции</w:t>
      </w:r>
      <w:r>
        <w:rPr>
          <w:rFonts w:ascii="Times New Roman" w:hAnsi="Times New Roman" w:cs="Times New Roman"/>
          <w:bCs/>
          <w:color w:val="000000"/>
          <w:sz w:val="24"/>
          <w:szCs w:val="24"/>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p>
    <w:p w14:paraId="2EDE9EB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 по предупреждению коррупции, в том числе по выявлению и последующему устранению причин коррупции (профилактика коррупции); </w:t>
      </w:r>
    </w:p>
    <w:p w14:paraId="2D7C794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2) по выявлению, предупреждению, пресечению, раскрытию и расследованию коррупционных правонарушений (борьба с коррупцией); </w:t>
      </w:r>
    </w:p>
    <w:p w14:paraId="1B4455C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3) по минимизации и (или) ликвидации последствий коррупционных правонарушений; </w:t>
      </w:r>
    </w:p>
    <w:p w14:paraId="279AAE3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предупреждение коррупции</w:t>
      </w:r>
      <w:r>
        <w:rPr>
          <w:rFonts w:ascii="Times New Roman" w:hAnsi="Times New Roman" w:cs="Times New Roman"/>
          <w:bCs/>
          <w:color w:val="000000"/>
          <w:sz w:val="24"/>
          <w:szCs w:val="24"/>
        </w:rPr>
        <w:t xml:space="preserve"> – деятельность Учреждения,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 </w:t>
      </w:r>
    </w:p>
    <w:p w14:paraId="741A83C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работник Учреждения</w:t>
      </w:r>
      <w:r>
        <w:rPr>
          <w:rFonts w:ascii="Times New Roman" w:hAnsi="Times New Roman" w:cs="Times New Roman"/>
          <w:bCs/>
          <w:color w:val="000000"/>
          <w:sz w:val="24"/>
          <w:szCs w:val="24"/>
        </w:rPr>
        <w:t xml:space="preserve"> – физическое лицо, вступившее в трудовые отношения с Учреждением; </w:t>
      </w:r>
    </w:p>
    <w:p w14:paraId="383DE5D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контрагент Учреждения</w:t>
      </w:r>
      <w:r>
        <w:rPr>
          <w:rFonts w:ascii="Times New Roman" w:hAnsi="Times New Roman" w:cs="Times New Roman"/>
          <w:bCs/>
          <w:color w:val="000000"/>
          <w:sz w:val="24"/>
          <w:szCs w:val="24"/>
        </w:rPr>
        <w:t xml:space="preserve"> –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 </w:t>
      </w:r>
    </w:p>
    <w:p w14:paraId="39A7822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конфликт интересов</w:t>
      </w:r>
      <w:r>
        <w:rPr>
          <w:rStyle w:val="af"/>
          <w:rFonts w:ascii="Times New Roman" w:hAnsi="Times New Roman" w:cs="Times New Roman"/>
          <w:b/>
          <w:bCs/>
          <w:color w:val="000000"/>
          <w:sz w:val="24"/>
          <w:szCs w:val="24"/>
        </w:rPr>
        <w:footnoteReference w:id="1"/>
      </w:r>
      <w:r>
        <w:rPr>
          <w:rFonts w:ascii="Times New Roman" w:hAnsi="Times New Roman" w:cs="Times New Roman"/>
          <w:bCs/>
          <w:color w:val="000000"/>
          <w:sz w:val="24"/>
          <w:szCs w:val="24"/>
        </w:rPr>
        <w:t xml:space="preserve"> – ситуация, при которой личная заинтересованность (прямая или косвенная) работника Учреждения (представителя Учреждения) влияет или может повлиять на надлежащее, объективное и беспристрастное исполнение им трудовых (должностных) обязанностей; личная заинтересованность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Учреждения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Учреждения и (или) лица, состоящие с ним в близком родстве или свойстве, связаны имущественными, корпоративными или иными близкими отношениями. </w:t>
      </w:r>
    </w:p>
    <w:p w14:paraId="6A3A226F"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p>
    <w:p w14:paraId="5347E29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II. Область применения настоящего Положения и круг лиц, на которых распространяется его действие</w:t>
      </w:r>
    </w:p>
    <w:p w14:paraId="07CD057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6. Настоящее Положение распространяется на руководителя Учреждения и работников Учреждения вне зависимости от занимаемой должности и выполняемых функций. </w:t>
      </w:r>
    </w:p>
    <w:p w14:paraId="5F575FB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7. Нормы настоящего Положения могут распространяться на иных физических и (или) юридических лиц, с которыми Учреждение вступает в договорные отношения, в случае, если это закреплено в договорах, заключаемых Учреждением с такими лицами. </w:t>
      </w:r>
    </w:p>
    <w:p w14:paraId="35FF3C15"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p>
    <w:p w14:paraId="1BB0B43E"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III. Основные принципы антикоррупционной политики Учреждения</w:t>
      </w:r>
    </w:p>
    <w:p w14:paraId="64FF745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8. Антикоррупционная политика Учреждения основывается на следующих основных принципах: </w:t>
      </w:r>
    </w:p>
    <w:p w14:paraId="371FABF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 принцип соответствия антикоррупционной политики Учреждения законодательству Российской Федерации и общепринятым нормам права. </w:t>
      </w:r>
    </w:p>
    <w:p w14:paraId="5515D61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Российской Федерации, действие которых распространяется на Учреждение; </w:t>
      </w:r>
    </w:p>
    <w:p w14:paraId="41C2E7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2) принцип личного примера руководства. </w:t>
      </w:r>
    </w:p>
    <w:p w14:paraId="6D2F6E1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Ключевая роль руководителя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 </w:t>
      </w:r>
    </w:p>
    <w:p w14:paraId="4F9FB71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3) принцип вовлеченности работников. </w:t>
      </w:r>
    </w:p>
    <w:p w14:paraId="3D3F802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Информированность работников Учреждения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 </w:t>
      </w:r>
    </w:p>
    <w:p w14:paraId="4824957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4) принцип соразмерности антикоррупционных процедур коррупционным рискам. </w:t>
      </w:r>
    </w:p>
    <w:p w14:paraId="3E85BCC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Разработка и выполнение комплекса мероприятий, позволяющих снизить вероятность вовлечения руководителя Учреждения, работников Учреждения в коррупционную деятельность, осуществляется с учетом существующих в деятельности Учреждения коррупционных рисков; </w:t>
      </w:r>
    </w:p>
    <w:p w14:paraId="2BA82F5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5) принцип эффективности антикоррупционных процедур. </w:t>
      </w:r>
    </w:p>
    <w:p w14:paraId="6E2D82B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Реализация антикоррупционных мероприятий в Учреждении простыми способами, имеющими низкую стоимость и приносящими требуемый (достаточный) результат; </w:t>
      </w:r>
    </w:p>
    <w:p w14:paraId="62FC52F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6) принцип ответственности и неотвратимости наказания. </w:t>
      </w:r>
    </w:p>
    <w:p w14:paraId="050889D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Неотвратимость наказания для руководителя Учреждения и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 а также персональная ответственность руководителя Учреждения за реализацию антикоррупционной политики Учреждения; </w:t>
      </w:r>
    </w:p>
    <w:p w14:paraId="339D572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7) принцип открытости хозяйственной и иной деятельности. </w:t>
      </w:r>
    </w:p>
    <w:p w14:paraId="3625164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Информирование контрагентов, партнеров и общественности о принятых в Учреждении антикоррупционных стандартах и процедурах; </w:t>
      </w:r>
    </w:p>
    <w:p w14:paraId="47D5B5C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8) принцип постоянного контроля и регулярного мониторинга. </w:t>
      </w:r>
    </w:p>
    <w:p w14:paraId="6CAC894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Регулярное осуществление мониторинга эффективности внедренных антикоррупционных стандартов и процедур, а также контроля за их исполнением. </w:t>
      </w:r>
    </w:p>
    <w:p w14:paraId="321A989F"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p>
    <w:p w14:paraId="415DD81D"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IV. Должностные лица Учреждения, ответственные за реализацию антикоррупционной политики Учреждения</w:t>
      </w:r>
    </w:p>
    <w:p w14:paraId="4838ADE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9. Руководитель Учреждения является ответственным за организацию всех мероприятий, направленных на предупреждение коррупции в Учреждении. </w:t>
      </w:r>
    </w:p>
    <w:p w14:paraId="4174107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10. Руководитель Учреждения, исходя из стоящих перед Учреждением задач, специфики деятельности, штатной численности, организационной структуры Учреждения, </w:t>
      </w:r>
      <w:r>
        <w:rPr>
          <w:rFonts w:ascii="Times New Roman" w:hAnsi="Times New Roman" w:cs="Times New Roman"/>
          <w:bCs/>
          <w:color w:val="000000"/>
          <w:sz w:val="24"/>
          <w:szCs w:val="24"/>
        </w:rPr>
        <w:lastRenderedPageBreak/>
        <w:t xml:space="preserve">назначает лицо или несколько лиц, ответственных за реализацию антикоррупционной политики Учреждения в пределах их полномочий. </w:t>
      </w:r>
    </w:p>
    <w:p w14:paraId="1CA8A31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11. Основные обязанности должностного лица (должностных лиц), ответственного (ответственных) за реализацию антикоррупционной политики Учреждения: </w:t>
      </w:r>
    </w:p>
    <w:p w14:paraId="0C86490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подготовка рекомендаций для принятия решений по вопросам предупреждения коррупции в Учреждении; </w:t>
      </w:r>
    </w:p>
    <w:p w14:paraId="16AB916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подготовка предложений, направленных на устранение причин и условий, порождающих риск возникновения коррупции в Учреждении; </w:t>
      </w:r>
    </w:p>
    <w:p w14:paraId="4EF6787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разработка и 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в Учреждении; </w:t>
      </w:r>
    </w:p>
    <w:p w14:paraId="6078F2E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проведение контрольных мероприятий, направленных на выявление коррупционных правонарушений, совершенных работниками Учреждения; </w:t>
      </w:r>
    </w:p>
    <w:p w14:paraId="1B0A86A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организация проведения оценки коррупционных рисков; </w:t>
      </w:r>
    </w:p>
    <w:p w14:paraId="7DDD1B4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Учреждения или иными лицами; </w:t>
      </w:r>
    </w:p>
    <w:p w14:paraId="266D0FE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организация работы по рассмотрению сообщений о конфликте интересов; </w:t>
      </w:r>
    </w:p>
    <w:p w14:paraId="4107A39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вопросам предупреждения коррупции; </w:t>
      </w:r>
    </w:p>
    <w:p w14:paraId="5D1B210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оперативно-розыскные мероприятия; </w:t>
      </w:r>
    </w:p>
    <w:p w14:paraId="74CE251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организация мероприятий по вопросам профилактики и противодействия коррупции в Учреждении и индивидуального консультирования работников Учреждения; </w:t>
      </w:r>
    </w:p>
    <w:p w14:paraId="2370C0C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индивидуальное консультирование работников Учреждения; </w:t>
      </w:r>
    </w:p>
    <w:p w14:paraId="379FCCA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участие в организации антикоррупционной пропаганды; </w:t>
      </w:r>
    </w:p>
    <w:p w14:paraId="087C393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ежегодное проведение оценки результатов работы по предупреждению коррупции в Учреждении и подготовка соответствующих отчетных материалов для руководителя Учреждения. </w:t>
      </w:r>
    </w:p>
    <w:p w14:paraId="20AC563D" w14:textId="77777777" w:rsidR="000E242B" w:rsidRDefault="007A7D0B" w:rsidP="007A7D0B">
      <w:pPr>
        <w:tabs>
          <w:tab w:val="left" w:pos="1635"/>
        </w:tabs>
        <w:autoSpaceDE w:val="0"/>
        <w:autoSpaceDN w:val="0"/>
        <w:adjustRightInd w:val="0"/>
        <w:spacing w:after="0" w:line="240" w:lineRule="auto"/>
        <w:ind w:firstLine="709"/>
        <w:rPr>
          <w:rFonts w:ascii="Times New Roman" w:hAnsi="Times New Roman" w:cs="Times New Roman"/>
          <w:b/>
          <w:bCs/>
          <w:color w:val="000000"/>
          <w:sz w:val="24"/>
          <w:szCs w:val="24"/>
        </w:rPr>
      </w:pPr>
      <w:r>
        <w:rPr>
          <w:rFonts w:ascii="Times New Roman" w:hAnsi="Times New Roman" w:cs="Times New Roman"/>
          <w:b/>
          <w:bCs/>
          <w:color w:val="000000"/>
          <w:sz w:val="24"/>
          <w:szCs w:val="24"/>
        </w:rPr>
        <w:tab/>
      </w:r>
    </w:p>
    <w:p w14:paraId="0E7538C8"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 Обязанности руководителя Учреждения и работников Учреждения по предупреждению коррупции</w:t>
      </w:r>
    </w:p>
    <w:p w14:paraId="4210033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12. Работники Учреждения знакомятся с настоящим Положением под роспись. </w:t>
      </w:r>
    </w:p>
    <w:p w14:paraId="7B58DF9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13. Соблюдение работником Учреждения требований настоящего Положения учитывается при оценке деловых качеств работника, в том числе в случае назначения его на вышестоящую должность, при решении иных кадровых вопросов. </w:t>
      </w:r>
    </w:p>
    <w:p w14:paraId="1B85EEE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14. Руководитель Учреждения и работники Учреждения вне зависимости от должности и стажа работы в Учреждении в связи с исполнением ими трудовых (должностных) обязанностей в соответствии с трудовым договором должны: </w:t>
      </w:r>
    </w:p>
    <w:p w14:paraId="7C2A1DE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руководствоваться требованиями настоящего Положения и неукоснительно соблюдать принципы антикоррупционной политики Учреждения; </w:t>
      </w:r>
    </w:p>
    <w:p w14:paraId="76CA23E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воздерживаться от совершения и (или) участия в совершении коррупционных правонарушений, в том числе в интересах или от имени Учреждения; </w:t>
      </w:r>
    </w:p>
    <w:p w14:paraId="43D0077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Учреждения. </w:t>
      </w:r>
    </w:p>
    <w:p w14:paraId="1EBC5DF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15. Работник Учреждения вне зависимости от должности и стажа работы в Учреждении в связи с исполнением им трудовых (должностных) обязанностей в соответствии с трудовым договором должен: </w:t>
      </w:r>
    </w:p>
    <w:p w14:paraId="3B6E9E5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незамедлительно информировать руководителя Учреждения и своего непосредственного руководителя о случаях склонения его к совершению коррупционных правонарушений; </w:t>
      </w:r>
    </w:p>
    <w:p w14:paraId="1DBDF50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незамедлительно информировать руководителя Учреждения и своего непосредственного руководителя о ставших известными ему случаях совершения коррупционных правонарушений другими работниками Учреждения; </w:t>
      </w:r>
    </w:p>
    <w:p w14:paraId="1B6E03E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сообщить руководителю Учреждения и своему непосредственному руководителю о возникшем конфликте интересов либо о возможности его возникновения. </w:t>
      </w:r>
    </w:p>
    <w:p w14:paraId="66999B00"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p>
    <w:p w14:paraId="2DDC2B2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VI. Перечень мероприятий по предупреждению коррупции, реализуемых Учреждением</w:t>
      </w:r>
      <w:r>
        <w:rPr>
          <w:rStyle w:val="af"/>
          <w:rFonts w:ascii="Times New Roman" w:hAnsi="Times New Roman" w:cs="Times New Roman"/>
          <w:b/>
          <w:bCs/>
          <w:color w:val="000000"/>
          <w:sz w:val="24"/>
          <w:szCs w:val="24"/>
        </w:rPr>
        <w:footnoteReference w:id="2"/>
      </w:r>
    </w:p>
    <w:p w14:paraId="7270ADC4"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bCs/>
          <w:color w:val="000000"/>
          <w:sz w:val="24"/>
          <w:szCs w:val="24"/>
        </w:rPr>
      </w:pPr>
    </w:p>
    <w:tbl>
      <w:tblPr>
        <w:tblStyle w:val="af1"/>
        <w:tblW w:w="0" w:type="auto"/>
        <w:tblInd w:w="-113" w:type="dxa"/>
        <w:tblLayout w:type="fixed"/>
        <w:tblLook w:val="04A0" w:firstRow="1" w:lastRow="0" w:firstColumn="1" w:lastColumn="0" w:noHBand="0" w:noVBand="1"/>
      </w:tblPr>
      <w:tblGrid>
        <w:gridCol w:w="1951"/>
        <w:gridCol w:w="7483"/>
      </w:tblGrid>
      <w:tr w:rsidR="000E242B" w14:paraId="215A3BAB" w14:textId="77777777" w:rsidTr="000E242B">
        <w:tc>
          <w:tcPr>
            <w:tcW w:w="1951" w:type="dxa"/>
            <w:tcBorders>
              <w:top w:val="single" w:sz="4" w:space="0" w:color="auto"/>
              <w:left w:val="single" w:sz="4" w:space="0" w:color="auto"/>
              <w:bottom w:val="single" w:sz="4" w:space="0" w:color="auto"/>
              <w:right w:val="single" w:sz="4" w:space="0" w:color="auto"/>
            </w:tcBorders>
            <w:hideMark/>
          </w:tcPr>
          <w:p w14:paraId="67C72B4A" w14:textId="77777777" w:rsidR="000E242B" w:rsidRDefault="000E242B">
            <w:pPr>
              <w:autoSpaceDE w:val="0"/>
              <w:autoSpaceDN w:val="0"/>
              <w:adjustRightInd w:val="0"/>
              <w:spacing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Направление</w:t>
            </w:r>
          </w:p>
        </w:tc>
        <w:tc>
          <w:tcPr>
            <w:tcW w:w="7483" w:type="dxa"/>
            <w:tcBorders>
              <w:top w:val="single" w:sz="4" w:space="0" w:color="auto"/>
              <w:left w:val="single" w:sz="4" w:space="0" w:color="auto"/>
              <w:bottom w:val="single" w:sz="4" w:space="0" w:color="auto"/>
              <w:right w:val="single" w:sz="4" w:space="0" w:color="auto"/>
            </w:tcBorders>
            <w:hideMark/>
          </w:tcPr>
          <w:p w14:paraId="5ED4B615" w14:textId="77777777" w:rsidR="000E242B" w:rsidRDefault="000E242B">
            <w:pPr>
              <w:autoSpaceDE w:val="0"/>
              <w:autoSpaceDN w:val="0"/>
              <w:adjustRightInd w:val="0"/>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Мероприятие</w:t>
            </w:r>
          </w:p>
        </w:tc>
      </w:tr>
      <w:tr w:rsidR="000E242B" w14:paraId="7EFFD0A8" w14:textId="77777777" w:rsidTr="000E242B">
        <w:tc>
          <w:tcPr>
            <w:tcW w:w="1951" w:type="dxa"/>
            <w:vMerge w:val="restart"/>
            <w:tcBorders>
              <w:top w:val="single" w:sz="4" w:space="0" w:color="auto"/>
              <w:left w:val="single" w:sz="4" w:space="0" w:color="auto"/>
              <w:bottom w:val="single" w:sz="4" w:space="0" w:color="auto"/>
              <w:right w:val="single" w:sz="4" w:space="0" w:color="auto"/>
            </w:tcBorders>
            <w:hideMark/>
          </w:tcPr>
          <w:p w14:paraId="1DAFC226" w14:textId="77777777" w:rsidR="000E242B" w:rsidRDefault="000E242B">
            <w:pPr>
              <w:autoSpaceDE w:val="0"/>
              <w:autoSpaceDN w:val="0"/>
              <w:adjustRightInd w:val="0"/>
              <w:spacing w:line="240" w:lineRule="auto"/>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Нормативное обеспечение, закрепление стандартов поведения и декларация намерений</w:t>
            </w:r>
          </w:p>
        </w:tc>
        <w:tc>
          <w:tcPr>
            <w:tcW w:w="7483" w:type="dxa"/>
            <w:tcBorders>
              <w:top w:val="single" w:sz="4" w:space="0" w:color="auto"/>
              <w:left w:val="single" w:sz="4" w:space="0" w:color="auto"/>
              <w:bottom w:val="single" w:sz="4" w:space="0" w:color="auto"/>
              <w:right w:val="single" w:sz="4" w:space="0" w:color="auto"/>
            </w:tcBorders>
            <w:hideMark/>
          </w:tcPr>
          <w:p w14:paraId="7AB7FA07" w14:textId="77777777" w:rsidR="000E242B" w:rsidRDefault="000E242B">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Разработка и принятие Кодекса этики и служебного поведения работников Учреждения </w:t>
            </w:r>
          </w:p>
        </w:tc>
      </w:tr>
      <w:tr w:rsidR="000E242B" w14:paraId="44DD30F9"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36F4AF73"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63FB9056" w14:textId="77777777" w:rsidR="000E242B" w:rsidRDefault="000E242B">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Разработка и внедрение положения о конфликте интересов </w:t>
            </w:r>
          </w:p>
        </w:tc>
      </w:tr>
      <w:tr w:rsidR="00CD4AA1" w14:paraId="50CFF622" w14:textId="77777777" w:rsidTr="00E95F1D">
        <w:trPr>
          <w:trHeight w:val="1114"/>
        </w:trPr>
        <w:tc>
          <w:tcPr>
            <w:tcW w:w="1951" w:type="dxa"/>
            <w:vMerge/>
            <w:tcBorders>
              <w:top w:val="single" w:sz="4" w:space="0" w:color="auto"/>
              <w:left w:val="single" w:sz="4" w:space="0" w:color="auto"/>
              <w:bottom w:val="single" w:sz="4" w:space="0" w:color="auto"/>
              <w:right w:val="single" w:sz="4" w:space="0" w:color="auto"/>
            </w:tcBorders>
            <w:vAlign w:val="center"/>
            <w:hideMark/>
          </w:tcPr>
          <w:p w14:paraId="74AC925A" w14:textId="77777777" w:rsidR="00CD4AA1" w:rsidRDefault="00CD4AA1">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right w:val="single" w:sz="4" w:space="0" w:color="auto"/>
            </w:tcBorders>
            <w:hideMark/>
          </w:tcPr>
          <w:p w14:paraId="1B7774FE" w14:textId="77777777" w:rsidR="00CD4AA1" w:rsidRDefault="00CD4AA1">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Введение в договоры, связанные с хозяйственной деятельнос</w:t>
            </w:r>
            <w:r>
              <w:rPr>
                <w:rFonts w:ascii="Times New Roman" w:hAnsi="Times New Roman" w:cs="Times New Roman"/>
                <w:color w:val="000000"/>
                <w:sz w:val="24"/>
                <w:szCs w:val="24"/>
              </w:rPr>
              <w:softHyphen/>
              <w:t xml:space="preserve">тью Учреждения, положений о соблюдении антикоррупционных стандартов (антикоррупционной оговорки) </w:t>
            </w:r>
          </w:p>
        </w:tc>
      </w:tr>
      <w:tr w:rsidR="000E242B" w14:paraId="32BCC7A7" w14:textId="77777777" w:rsidTr="000E242B">
        <w:tc>
          <w:tcPr>
            <w:tcW w:w="1951" w:type="dxa"/>
            <w:vMerge w:val="restart"/>
            <w:tcBorders>
              <w:top w:val="single" w:sz="4" w:space="0" w:color="auto"/>
              <w:left w:val="single" w:sz="4" w:space="0" w:color="auto"/>
              <w:bottom w:val="single" w:sz="4" w:space="0" w:color="auto"/>
              <w:right w:val="single" w:sz="4" w:space="0" w:color="auto"/>
            </w:tcBorders>
            <w:hideMark/>
          </w:tcPr>
          <w:p w14:paraId="10F0494C" w14:textId="77777777" w:rsidR="000E242B" w:rsidRDefault="000E242B">
            <w:pPr>
              <w:autoSpaceDE w:val="0"/>
              <w:autoSpaceDN w:val="0"/>
              <w:adjustRightInd w:val="0"/>
              <w:spacing w:line="240" w:lineRule="auto"/>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Разработка и введение специ</w:t>
            </w:r>
            <w:r>
              <w:rPr>
                <w:rFonts w:ascii="Times New Roman" w:hAnsi="Times New Roman" w:cs="Times New Roman"/>
                <w:color w:val="000000"/>
                <w:sz w:val="24"/>
                <w:szCs w:val="24"/>
              </w:rPr>
              <w:softHyphen/>
              <w:t>альных антикоррупционных процедур</w:t>
            </w:r>
          </w:p>
        </w:tc>
        <w:tc>
          <w:tcPr>
            <w:tcW w:w="7483" w:type="dxa"/>
            <w:tcBorders>
              <w:top w:val="single" w:sz="4" w:space="0" w:color="auto"/>
              <w:left w:val="single" w:sz="4" w:space="0" w:color="auto"/>
              <w:bottom w:val="single" w:sz="4" w:space="0" w:color="auto"/>
              <w:right w:val="single" w:sz="4" w:space="0" w:color="auto"/>
            </w:tcBorders>
            <w:hideMark/>
          </w:tcPr>
          <w:p w14:paraId="6D38AFCA"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Введение процедуры информирования работником Учреждения руководителя Учреждения и своего непосредственного руководителя о случаях склонения его к совершению коррупционных нарушений и порядка рассмотрения таких сообщений</w:t>
            </w:r>
          </w:p>
        </w:tc>
      </w:tr>
      <w:tr w:rsidR="000E242B" w14:paraId="6D9C4298"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0F442178"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43C4BD3A"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Введение процедуры информирования работником Учреждения руководителя Учреждения и своего непосредственного руководителя о ставшей известной работнику Учреждения информации о случаях совершения коррупционных правонарушений другими работниками Учреждения, контрагентами Учреждения или иными лицами и порядка рассмотрения таких сообщений </w:t>
            </w:r>
          </w:p>
        </w:tc>
      </w:tr>
      <w:tr w:rsidR="000E242B" w14:paraId="3E466EA3"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1EB3A9F9"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6D8C6688"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Введение процедуры информирования работником Учреждения руководителя Учреждения и своего непосредственного руково</w:t>
            </w:r>
            <w:r>
              <w:rPr>
                <w:rFonts w:ascii="Times New Roman" w:hAnsi="Times New Roman" w:cs="Times New Roman"/>
                <w:color w:val="000000"/>
                <w:sz w:val="24"/>
                <w:szCs w:val="24"/>
              </w:rPr>
              <w:softHyphen/>
              <w:t xml:space="preserve">дителя о возникновении конфликта интересов и порядка урегулирования выявленного конфликта интересов </w:t>
            </w:r>
          </w:p>
        </w:tc>
      </w:tr>
      <w:tr w:rsidR="000E242B" w14:paraId="14000ACC"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2F0F272D"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735EB985"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Введение процедур защиты работников Учреждения, сообщивших о коррупционных правонарушениях в деятельности Учреждения </w:t>
            </w:r>
          </w:p>
        </w:tc>
      </w:tr>
      <w:tr w:rsidR="000E242B" w14:paraId="0673DC2E" w14:textId="77777777" w:rsidTr="000E242B">
        <w:tc>
          <w:tcPr>
            <w:tcW w:w="1951" w:type="dxa"/>
            <w:vMerge w:val="restart"/>
            <w:tcBorders>
              <w:top w:val="single" w:sz="4" w:space="0" w:color="auto"/>
              <w:left w:val="single" w:sz="4" w:space="0" w:color="auto"/>
              <w:bottom w:val="single" w:sz="4" w:space="0" w:color="auto"/>
              <w:right w:val="single" w:sz="4" w:space="0" w:color="auto"/>
            </w:tcBorders>
            <w:hideMark/>
          </w:tcPr>
          <w:p w14:paraId="60AAE1BD" w14:textId="77777777" w:rsidR="000E242B" w:rsidRDefault="000E242B">
            <w:pPr>
              <w:autoSpaceDE w:val="0"/>
              <w:autoSpaceDN w:val="0"/>
              <w:adjustRightInd w:val="0"/>
              <w:spacing w:line="240" w:lineRule="auto"/>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Обучение и информирование работников Учреждения</w:t>
            </w:r>
          </w:p>
        </w:tc>
        <w:tc>
          <w:tcPr>
            <w:tcW w:w="7483" w:type="dxa"/>
            <w:tcBorders>
              <w:top w:val="single" w:sz="4" w:space="0" w:color="auto"/>
              <w:left w:val="single" w:sz="4" w:space="0" w:color="auto"/>
              <w:bottom w:val="single" w:sz="4" w:space="0" w:color="auto"/>
              <w:right w:val="single" w:sz="4" w:space="0" w:color="auto"/>
            </w:tcBorders>
            <w:hideMark/>
          </w:tcPr>
          <w:p w14:paraId="16A30141"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Ознакомление работников Учреждения под роспись с локальными нормативными актами, регламентирующими вопросы пре</w:t>
            </w:r>
            <w:r>
              <w:rPr>
                <w:rFonts w:ascii="Times New Roman" w:hAnsi="Times New Roman" w:cs="Times New Roman"/>
                <w:color w:val="000000"/>
                <w:sz w:val="24"/>
                <w:szCs w:val="24"/>
              </w:rPr>
              <w:softHyphen/>
              <w:t xml:space="preserve">дупреждения и противодействия коррупции в Учреждении, при приеме на работу, а также при принятии локального акта </w:t>
            </w:r>
          </w:p>
        </w:tc>
      </w:tr>
      <w:tr w:rsidR="000E242B" w14:paraId="4C72202B"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25D281B7"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17C71B61" w14:textId="77777777" w:rsidR="000E242B" w:rsidRDefault="000E242B" w:rsidP="009C3034">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Проведение обучающих мероприятий по вопросам профилактики и противодействия коррупции </w:t>
            </w:r>
          </w:p>
        </w:tc>
      </w:tr>
      <w:tr w:rsidR="000E242B" w14:paraId="2DC4F588" w14:textId="77777777" w:rsidTr="000E242B">
        <w:tc>
          <w:tcPr>
            <w:tcW w:w="1951" w:type="dxa"/>
            <w:vMerge/>
            <w:tcBorders>
              <w:top w:val="single" w:sz="4" w:space="0" w:color="auto"/>
              <w:left w:val="single" w:sz="4" w:space="0" w:color="auto"/>
              <w:bottom w:val="single" w:sz="4" w:space="0" w:color="auto"/>
              <w:right w:val="single" w:sz="4" w:space="0" w:color="auto"/>
            </w:tcBorders>
            <w:vAlign w:val="center"/>
            <w:hideMark/>
          </w:tcPr>
          <w:p w14:paraId="5148F9D8" w14:textId="77777777" w:rsidR="000E242B" w:rsidRDefault="000E242B">
            <w:pPr>
              <w:spacing w:line="240" w:lineRule="auto"/>
              <w:rPr>
                <w:rFonts w:ascii="Times New Roman" w:hAnsi="Times New Roman" w:cs="Times New Roman"/>
                <w:b/>
                <w:bCs/>
                <w:color w:val="000000"/>
                <w:sz w:val="24"/>
                <w:szCs w:val="24"/>
              </w:rPr>
            </w:pPr>
          </w:p>
        </w:tc>
        <w:tc>
          <w:tcPr>
            <w:tcW w:w="7483" w:type="dxa"/>
            <w:tcBorders>
              <w:top w:val="single" w:sz="4" w:space="0" w:color="auto"/>
              <w:left w:val="single" w:sz="4" w:space="0" w:color="auto"/>
              <w:bottom w:val="single" w:sz="4" w:space="0" w:color="auto"/>
              <w:right w:val="single" w:sz="4" w:space="0" w:color="auto"/>
            </w:tcBorders>
            <w:hideMark/>
          </w:tcPr>
          <w:p w14:paraId="77A5C6B5" w14:textId="77777777" w:rsidR="000E242B" w:rsidRDefault="000E242B">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Организация индивидуального консультирования работников Учреждения по вопросам применения (соблюдения) антикорруп</w:t>
            </w:r>
            <w:r>
              <w:rPr>
                <w:rFonts w:ascii="Times New Roman" w:hAnsi="Times New Roman" w:cs="Times New Roman"/>
                <w:color w:val="000000"/>
                <w:sz w:val="24"/>
                <w:szCs w:val="24"/>
              </w:rPr>
              <w:softHyphen/>
              <w:t xml:space="preserve">ционных стандартов и процедур, исполнения обязанностей </w:t>
            </w:r>
          </w:p>
        </w:tc>
      </w:tr>
      <w:tr w:rsidR="000E242B" w14:paraId="65F5312C" w14:textId="77777777" w:rsidTr="000E242B">
        <w:tc>
          <w:tcPr>
            <w:tcW w:w="1951" w:type="dxa"/>
            <w:tcBorders>
              <w:top w:val="single" w:sz="4" w:space="0" w:color="auto"/>
              <w:left w:val="single" w:sz="4" w:space="0" w:color="auto"/>
              <w:bottom w:val="single" w:sz="4" w:space="0" w:color="auto"/>
              <w:right w:val="single" w:sz="4" w:space="0" w:color="auto"/>
            </w:tcBorders>
            <w:hideMark/>
          </w:tcPr>
          <w:p w14:paraId="780C2BE8" w14:textId="77777777" w:rsidR="000E242B" w:rsidRDefault="000E242B">
            <w:pPr>
              <w:autoSpaceDE w:val="0"/>
              <w:autoSpaceDN w:val="0"/>
              <w:adjustRightInd w:val="0"/>
              <w:spacing w:line="240" w:lineRule="auto"/>
              <w:jc w:val="center"/>
              <w:rPr>
                <w:rFonts w:ascii="Times New Roman" w:hAnsi="Times New Roman" w:cs="Times New Roman"/>
                <w:b/>
                <w:bCs/>
                <w:color w:val="000000"/>
                <w:sz w:val="24"/>
                <w:szCs w:val="24"/>
              </w:rPr>
            </w:pPr>
            <w:r>
              <w:rPr>
                <w:rFonts w:ascii="Times New Roman" w:hAnsi="Times New Roman" w:cs="Times New Roman"/>
                <w:color w:val="000000"/>
                <w:sz w:val="24"/>
                <w:szCs w:val="24"/>
              </w:rPr>
              <w:t>Оценка результатов проводимой антикоррупционной работы</w:t>
            </w:r>
          </w:p>
        </w:tc>
        <w:tc>
          <w:tcPr>
            <w:tcW w:w="7483" w:type="dxa"/>
            <w:tcBorders>
              <w:top w:val="single" w:sz="4" w:space="0" w:color="auto"/>
              <w:left w:val="single" w:sz="4" w:space="0" w:color="auto"/>
              <w:bottom w:val="single" w:sz="4" w:space="0" w:color="auto"/>
              <w:right w:val="single" w:sz="4" w:space="0" w:color="auto"/>
            </w:tcBorders>
            <w:hideMark/>
          </w:tcPr>
          <w:p w14:paraId="05FD6AC1" w14:textId="77777777" w:rsidR="000E242B" w:rsidRDefault="000E242B" w:rsidP="009C3034">
            <w:pPr>
              <w:autoSpaceDE w:val="0"/>
              <w:autoSpaceDN w:val="0"/>
              <w:adjustRightInd w:val="0"/>
              <w:spacing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Подготовка и представление руководителю Учреждения отчетных материалов о проводимой работе в сфере противодействия коррупции и достигнутых результатах</w:t>
            </w:r>
          </w:p>
        </w:tc>
      </w:tr>
    </w:tbl>
    <w:p w14:paraId="0A6C54A2"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4"/>
          <w:szCs w:val="24"/>
        </w:rPr>
      </w:pPr>
    </w:p>
    <w:p w14:paraId="78F770B0"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VII. Меры по предупреждению коррупции при взаимодействии с контрагентами Учреждения</w:t>
      </w:r>
    </w:p>
    <w:p w14:paraId="47AB05B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 Работа по предупреждению коррупции при взаимодействии с контрагентами Учреждения проводится в Учреждении по следующим направлениям: </w:t>
      </w:r>
    </w:p>
    <w:p w14:paraId="070778B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установление и сохранение деловых (хозяйственных) отношений с теми контрагентами Учреждения,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 </w:t>
      </w:r>
    </w:p>
    <w:p w14:paraId="44AF4E5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внедрение специальных процедур проверки контрагентов Учреждения в целях снижения риска вовлечения Учреждения в коррупционную деятельность и иные недобросовестные практики в ходе отношений с контрагентами Учреждения (сбор и анализ находящихся в открытом доступе сведений о потенциальных контрагентах Учреждения: их репутации в деловых кругах, длительности деятельности на рынке, участии в коррупционных скандалах и т.п.); </w:t>
      </w:r>
    </w:p>
    <w:p w14:paraId="145D201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 распространение на контрагентов Учреждения применяемых в Учреждении программ, политик, стандартов поведения, процедур и правил, направленных на профилактику и противодействие коррупции;</w:t>
      </w:r>
    </w:p>
    <w:p w14:paraId="53A607C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 включение в договоры, заключаемые с контрагентами Учреждения, положений о соблюдении антикоррупционных стандартов (антикоррупционной оговорки); </w:t>
      </w:r>
    </w:p>
    <w:p w14:paraId="2386025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 размещение на официальном сайте Учреждения информации о мерах по предупреждению коррупции, принимаемых в Учреждении. </w:t>
      </w:r>
    </w:p>
    <w:p w14:paraId="6714864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4"/>
          <w:szCs w:val="24"/>
        </w:rPr>
      </w:pPr>
    </w:p>
    <w:p w14:paraId="1970B80D"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t>VIII. Оценка коррупционных рисков</w:t>
      </w:r>
    </w:p>
    <w:p w14:paraId="1451852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17. Целью оценки коррупционных рисков в деятельности Учреждения является определение конкретных работ, услуг и форм деятельности,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 </w:t>
      </w:r>
    </w:p>
    <w:p w14:paraId="166E902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18. В Учреждении устанавливается следующий порядок проведения оценки коррупционных рисков: </w:t>
      </w:r>
    </w:p>
    <w:p w14:paraId="2A9DC1C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выделение «критических точек» – определяются работы, услуги, формы деятельности, при реализации которых наиболее вероятно возникновение коррупционных правонарушений; </w:t>
      </w:r>
    </w:p>
    <w:p w14:paraId="011EAD7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составление описания возможных коррупционных правонарушений для каждого вида работы, услуги, формы деятельности, реализация которых связана с коррупционным риском; </w:t>
      </w:r>
    </w:p>
    <w:p w14:paraId="10F118A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подготовка «карты коррупционных рисков Учреждения» – сводного описания «критических точек» и возможных коррупционных правонарушений; </w:t>
      </w:r>
    </w:p>
    <w:p w14:paraId="0C4B8C8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определение перечня должностей в Учреждении, связанных с высоким уровнем коррупционного риска; </w:t>
      </w:r>
    </w:p>
    <w:p w14:paraId="495AA51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разработка комплекса мер по устранению или минимизации коррупционных рисков. </w:t>
      </w:r>
    </w:p>
    <w:p w14:paraId="357C529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19. Перечень должностей в Учреждении, связанных с высоким уровнем коррупционного риска, включает в себя: </w:t>
      </w:r>
    </w:p>
    <w:p w14:paraId="7D7923F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должность руководителя Учреждения; </w:t>
      </w:r>
    </w:p>
    <w:p w14:paraId="5B3A2A40" w14:textId="77777777" w:rsidR="00CD4AA1" w:rsidRDefault="000E242B" w:rsidP="00CD4AA1">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должность </w:t>
      </w:r>
      <w:r w:rsidR="00CD4AA1">
        <w:rPr>
          <w:rFonts w:ascii="Times New Roman" w:hAnsi="Times New Roman" w:cs="Times New Roman"/>
          <w:color w:val="000000"/>
          <w:sz w:val="24"/>
          <w:szCs w:val="24"/>
        </w:rPr>
        <w:t>заместителя руководителя Учреждения;</w:t>
      </w:r>
    </w:p>
    <w:p w14:paraId="64CB5FE1" w14:textId="35AF373E" w:rsidR="000E242B" w:rsidRPr="00CD4AA1" w:rsidRDefault="00CD4AA1" w:rsidP="00CD4AA1">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должность главного бухгалтера Учреждения</w:t>
      </w:r>
      <w:r w:rsidR="000E242B">
        <w:rPr>
          <w:rFonts w:ascii="Times New Roman" w:hAnsi="Times New Roman" w:cs="Times New Roman"/>
          <w:color w:val="000000"/>
          <w:sz w:val="23"/>
          <w:szCs w:val="23"/>
        </w:rPr>
        <w:t xml:space="preserve">. </w:t>
      </w:r>
    </w:p>
    <w:p w14:paraId="692A317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20. Карта коррупционных рисков Учреждения включает следующие «критические точки»: </w:t>
      </w:r>
    </w:p>
    <w:p w14:paraId="12B9D18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все виды платных услуг, оказываемых Учреждением; </w:t>
      </w:r>
    </w:p>
    <w:p w14:paraId="7DA7A2D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хозяйственно-закупочная деятельность; </w:t>
      </w:r>
    </w:p>
    <w:p w14:paraId="232030C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бухгалтерская деятельность; </w:t>
      </w:r>
    </w:p>
    <w:p w14:paraId="24FB641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lastRenderedPageBreak/>
        <w:t xml:space="preserve">процессы, связанные с движением кадров в Учреждении (прием на работу, повышение в должности и т.д.); </w:t>
      </w:r>
    </w:p>
    <w:p w14:paraId="5B3C53A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принятие управленческих решений. </w:t>
      </w:r>
    </w:p>
    <w:p w14:paraId="3461DA1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28F8E646"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IX. Подарки и представительские расходы</w:t>
      </w:r>
    </w:p>
    <w:p w14:paraId="6FA6C23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21. Подарки и представительские расходы, в том числе на деловое гостеприимство, которые работники Учреждения от имени Учреждения могут использовать для дарения другим лицам и организациям, либо которые работники Учреждения в связи с их трудовой деятельностью в Учреждении могут получать от других лиц и организаций, должны соответствовать совокупности указанных ниже критериев</w:t>
      </w:r>
      <w:r>
        <w:rPr>
          <w:rStyle w:val="af"/>
          <w:rFonts w:ascii="Times New Roman" w:hAnsi="Times New Roman" w:cs="Times New Roman"/>
          <w:color w:val="000000"/>
          <w:sz w:val="23"/>
          <w:szCs w:val="23"/>
        </w:rPr>
        <w:footnoteReference w:id="3"/>
      </w:r>
      <w:r>
        <w:rPr>
          <w:rFonts w:ascii="Times New Roman" w:hAnsi="Times New Roman" w:cs="Times New Roman"/>
          <w:color w:val="000000"/>
          <w:sz w:val="23"/>
          <w:szCs w:val="23"/>
        </w:rPr>
        <w:t xml:space="preserve">: </w:t>
      </w:r>
    </w:p>
    <w:p w14:paraId="6B751643"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быть прямо связанными с целями деятельности Учреждения; </w:t>
      </w:r>
    </w:p>
    <w:p w14:paraId="05E3EC5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быть разумно обоснованными, соразмерными и не являться предметами роскоши; </w:t>
      </w:r>
    </w:p>
    <w:p w14:paraId="13EFBED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не представлять собой скрытое вознаграждение за услугу, действие, бездействие, попустительство, покровительство, предоставление прав, принятие определенного решения о сделке, соглашении, разрешении и т.п. или попытку оказать влияние на получателя с иной незаконной или неэтичной целью; </w:t>
      </w:r>
    </w:p>
    <w:p w14:paraId="6F7A39F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не создавать репутационного риска для Учреждения, работников Учреждения и иных лиц в случае раскрытия информации о подарках или представительских расходах; </w:t>
      </w:r>
    </w:p>
    <w:p w14:paraId="3F0F9BF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не противоречить нормам действующего законодательства, принципам и требованиям настоящего Положения, другим локальным нормативным актам Учреждения. </w:t>
      </w:r>
    </w:p>
    <w:p w14:paraId="54DF32B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22. Подарки в виде сувенирной продукции (продукции невысокой стоимости) с символикой Учреждения, предоставляемые на выставках, презентациях, иных мероприятиях, в которых официально участвует Учреждение, допускаются и рассматриваются в качестве имиджевых материалов. </w:t>
      </w:r>
    </w:p>
    <w:p w14:paraId="11A9641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23. Не допускаются подарки от имени Учреждения, работников Учреждения и его представителей третьим лицам в виде денежных средств, наличных или безналичных, в любой валюте. </w:t>
      </w:r>
    </w:p>
    <w:p w14:paraId="2A72408B"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7C22DB13"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X. Антикоррупционное просвещение работников Учреждения</w:t>
      </w:r>
    </w:p>
    <w:p w14:paraId="603B6C2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24. Антикоррупционное просвещение работников Учреждения осуществляется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Учреждения на плановой основе посредством антикоррупционного образования и антикоррупционного консультирования. </w:t>
      </w:r>
    </w:p>
    <w:p w14:paraId="62B0DE9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25. Антикоррупционное образование работников Учреждения осуществляется за счет Учреждения в форме подготовки (переподготовки) и повышения квалификации должностных лиц Учреждения, ответственных за реализацию антикоррупционной политики Учреждения. </w:t>
      </w:r>
    </w:p>
    <w:p w14:paraId="36576F0A"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26. Антикоррупционное консультирование осуществляется в индивидуальном порядке должностными лицами Учреждения, ответственными за реализацию антикоррупционной политики Учреждения.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 </w:t>
      </w:r>
    </w:p>
    <w:p w14:paraId="534BB0F7"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19D0E7DF"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XI. Внутренний контроль и аудит</w:t>
      </w:r>
    </w:p>
    <w:p w14:paraId="7E5C1E50"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27. Система внутреннего контроля и аудита Учреждения способствует профилактике и выявлению коррупционных правонарушений в деятельности Учреждения. </w:t>
      </w:r>
    </w:p>
    <w:p w14:paraId="2F03EE2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28. Задачами внутреннего контроля и аудита в целях реализации мер предупреждения коррупции являются обеспечение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 </w:t>
      </w:r>
    </w:p>
    <w:p w14:paraId="44D3469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29. Для реализации мер предупреждения коррупции в Учреждении осуществляются следующие мероприятия внутреннего контроля и аудита: </w:t>
      </w:r>
    </w:p>
    <w:p w14:paraId="78492B6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lastRenderedPageBreak/>
        <w:t xml:space="preserve">–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 </w:t>
      </w:r>
    </w:p>
    <w:p w14:paraId="2A13395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контроль документирования операций хозяйственной деятельности Учреждения; </w:t>
      </w:r>
    </w:p>
    <w:p w14:paraId="3E8B31C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проверка экономической обоснованности осуществляемых операций в сферах коррупционного риска. </w:t>
      </w:r>
    </w:p>
    <w:p w14:paraId="7D02104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30. Проверка соблюдения организационных процедур и правил деятельности, значимых с точки зрения работы по профилактике и предупреждению коррупции, охватывает как специальные антикоррупционные правила и процедуры, перечисленные в разделе VI настоящего Положения, так и иные правила и процедуры, представленные в Кодексе этики и служебного поведения работников Учреждения. </w:t>
      </w:r>
    </w:p>
    <w:p w14:paraId="5336BA2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31. Контроль документирования операций хозяйственной деятельности Учреждения прежде всего связан с обязанностью ведения Учреждением финансовой (бухгалтерской) отчетности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 д. </w:t>
      </w:r>
    </w:p>
    <w:p w14:paraId="7591101C"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32. Проверка экономической обоснованности осуществляемых операций в сферах коррупци</w:t>
      </w:r>
      <w:r>
        <w:rPr>
          <w:rFonts w:ascii="Times New Roman" w:hAnsi="Times New Roman" w:cs="Times New Roman"/>
          <w:color w:val="000000"/>
          <w:sz w:val="23"/>
          <w:szCs w:val="23"/>
        </w:rPr>
        <w:softHyphen/>
        <w:t xml:space="preserve">онного риска проводится в отношении обмена деловыми подарками, представительских расходов, благотворительных пожертвований, вознаграждений с учетом обстоятельств – индикаторов неправомерных действий: </w:t>
      </w:r>
    </w:p>
    <w:p w14:paraId="5923F21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оплата услуг, характер которых не определен либо вызывает сомнения; </w:t>
      </w:r>
    </w:p>
    <w:p w14:paraId="530C2AC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Учреждения, работникам аффилированных лиц и контрагентов; </w:t>
      </w:r>
    </w:p>
    <w:p w14:paraId="14D147B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выплата посреднику или контрагенту вознаграждения, размер которого превышает обычную плату для Учреждения или плату для данного вида услуг; </w:t>
      </w:r>
    </w:p>
    <w:p w14:paraId="3BB91F4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закупки или продажи по ценам, значительно отличающимся от рыночных цен; </w:t>
      </w:r>
    </w:p>
    <w:p w14:paraId="47F0F068"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сомнительные платежи наличными денежными средствами. </w:t>
      </w:r>
    </w:p>
    <w:p w14:paraId="01439FED"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1A5AE7EB"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XII. Сотрудничество с органами, уполномоченными на осуществление государственного контроля (надзора), и правоохранительными органами в сфере противодействия коррупции</w:t>
      </w:r>
    </w:p>
    <w:p w14:paraId="2C7FEB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33. Учреждение принимает на себя обязательство сообщать в правоохранительные органы обо всех случаях совершения коррупционных правонарушений, о которых Учреждению стало известно. </w:t>
      </w:r>
    </w:p>
    <w:p w14:paraId="4271DE0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Обязанность по сообщению в правоохранительные органы о случаях совершения коррупционных правонарушений, о которых стало известно Учреждению, закрепляется за должностным лицом Учреждения, ответственным за реализацию антикоррупционной политики Учреждения. </w:t>
      </w:r>
    </w:p>
    <w:p w14:paraId="255F3222"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34. Учреждение принимает на себя обязательство воздерживаться от каких-либо санкций в отношении работников Учреждения, сообщивших в органы, уполномоченные на осуществление государственного контроля (надзора) и правоохранительные органы о ставшей им известной в ходе выполнения трудовых (должностных) обязанностей информации о подготовке к совершению или совершении коррупционного правонарушения. </w:t>
      </w:r>
    </w:p>
    <w:p w14:paraId="50130915"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35. Сотрудничество с органами, уполномоченными на осуществление государственного контроля (надзора), и правоохранительными органами осуществляется в форме: </w:t>
      </w:r>
    </w:p>
    <w:p w14:paraId="05505674"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оказания содействия уполномоченным представителям органов государственного контроля (надзора) и правоохранительных органов при проведении ими </w:t>
      </w:r>
      <w:proofErr w:type="spellStart"/>
      <w:r>
        <w:rPr>
          <w:rFonts w:ascii="Times New Roman" w:hAnsi="Times New Roman" w:cs="Times New Roman"/>
          <w:color w:val="000000"/>
          <w:sz w:val="23"/>
          <w:szCs w:val="23"/>
        </w:rPr>
        <w:t>контрольно</w:t>
      </w:r>
      <w:proofErr w:type="spellEnd"/>
      <w:r>
        <w:rPr>
          <w:rFonts w:ascii="Times New Roman" w:hAnsi="Times New Roman" w:cs="Times New Roman"/>
          <w:color w:val="000000"/>
          <w:sz w:val="23"/>
          <w:szCs w:val="23"/>
        </w:rPr>
        <w:t xml:space="preserve">–надзорных мероприятий в Учреждении по вопросам предупреждения и противодействия коррупции; </w:t>
      </w:r>
    </w:p>
    <w:p w14:paraId="7611623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включая оперативно-розыскные мероприятия. </w:t>
      </w:r>
    </w:p>
    <w:p w14:paraId="13F22CDB"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36. Руководитель Учреждения и работники Учреждения оказывают поддержку правоохранительным органам в выявлении и расследовании фактов коррупции, </w:t>
      </w:r>
      <w:r>
        <w:rPr>
          <w:rFonts w:ascii="Times New Roman" w:hAnsi="Times New Roman" w:cs="Times New Roman"/>
          <w:color w:val="000000"/>
          <w:sz w:val="23"/>
          <w:szCs w:val="23"/>
        </w:rPr>
        <w:lastRenderedPageBreak/>
        <w:t xml:space="preserve">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 </w:t>
      </w:r>
    </w:p>
    <w:p w14:paraId="4CAF82AF"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37. Руководитель Учреждения и работники Учреждения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 </w:t>
      </w:r>
    </w:p>
    <w:p w14:paraId="0435451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0AA89B8A"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XIII. Ответственность за несоблюдение требований настоящего</w:t>
      </w:r>
    </w:p>
    <w:p w14:paraId="0163AD3E"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Положения и нарушение антикоррупционного законодательства</w:t>
      </w:r>
    </w:p>
    <w:p w14:paraId="67F9C829"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38. Все работники Учреждения должны руководствоваться настоящим Положением и неукоснительно соблюдать закрепленные в нем принципы и требования. </w:t>
      </w:r>
    </w:p>
    <w:p w14:paraId="7480C64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39. Руководители структурных подразделений Учреждения являются ответственными за обеспечение контроля за соблюдением требований настоящего Положения своими подчиненными.</w:t>
      </w:r>
    </w:p>
    <w:p w14:paraId="0B4380FD"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40. 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14:paraId="37B832AB"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p>
    <w:p w14:paraId="307C8BE9"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color w:val="000000"/>
          <w:sz w:val="23"/>
          <w:szCs w:val="23"/>
        </w:rPr>
      </w:pPr>
      <w:r>
        <w:rPr>
          <w:rFonts w:ascii="Times New Roman" w:hAnsi="Times New Roman" w:cs="Times New Roman"/>
          <w:b/>
          <w:color w:val="000000"/>
          <w:sz w:val="23"/>
          <w:szCs w:val="23"/>
        </w:rPr>
        <w:t>XIV. Порядок пересмотра настоящего Положения и внесения в него изменений</w:t>
      </w:r>
    </w:p>
    <w:p w14:paraId="35102F8E"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41. Учреждение осуществляет регулярный мониторинг эффективности реализации антикоррупционной политики Учреждения. </w:t>
      </w:r>
    </w:p>
    <w:p w14:paraId="31C60E51" w14:textId="1DE703F1" w:rsidR="000E242B" w:rsidRDefault="000E242B" w:rsidP="00CD4AA1">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42. Должностное лицо Учреждения, ответственное за реализацию антикоррупционной политики Учреждения, ежегодно готовит отчет о реализации мер по предупреждению коррупции в Учреждении, представляет его руководителю Учреждения. На основании указанного отчета в настоящее Положение могут быть внесены изменения. </w:t>
      </w:r>
    </w:p>
    <w:p w14:paraId="1620171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r>
        <w:rPr>
          <w:rFonts w:ascii="Times New Roman" w:hAnsi="Times New Roman" w:cs="Times New Roman"/>
          <w:color w:val="000000"/>
          <w:sz w:val="23"/>
          <w:szCs w:val="23"/>
        </w:rPr>
        <w:t>43. Пересмотр настоящего Положения может проводиться в случае внесения изменений в трудовое законодательство, законодательство о противодействии коррупции, а также в случае изменения организационно-правовой формы или организационно-штатной структуры Учреждения.</w:t>
      </w:r>
    </w:p>
    <w:p w14:paraId="682282C7"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p>
    <w:p w14:paraId="0EFFF9B1"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p>
    <w:p w14:paraId="0D1AB646" w14:textId="77777777" w:rsidR="000E242B" w:rsidRDefault="000E242B" w:rsidP="000E242B">
      <w:pPr>
        <w:autoSpaceDE w:val="0"/>
        <w:autoSpaceDN w:val="0"/>
        <w:adjustRightInd w:val="0"/>
        <w:spacing w:after="0" w:line="240" w:lineRule="auto"/>
        <w:ind w:firstLine="709"/>
        <w:jc w:val="both"/>
        <w:rPr>
          <w:rFonts w:ascii="Times New Roman" w:hAnsi="Times New Roman" w:cs="Times New Roman"/>
          <w:color w:val="000000"/>
          <w:sz w:val="23"/>
          <w:szCs w:val="23"/>
        </w:rPr>
      </w:pPr>
    </w:p>
    <w:p w14:paraId="54CF4D08" w14:textId="77777777" w:rsidR="000E242B" w:rsidRDefault="000E242B" w:rsidP="000E242B">
      <w:pPr>
        <w:autoSpaceDE w:val="0"/>
        <w:autoSpaceDN w:val="0"/>
        <w:adjustRightInd w:val="0"/>
        <w:spacing w:after="0" w:line="240" w:lineRule="auto"/>
        <w:jc w:val="right"/>
        <w:rPr>
          <w:rFonts w:ascii="Times New Roman" w:hAnsi="Times New Roman" w:cs="Times New Roman"/>
          <w:i/>
          <w:iCs/>
          <w:color w:val="000000"/>
          <w:sz w:val="24"/>
          <w:szCs w:val="24"/>
        </w:rPr>
      </w:pPr>
    </w:p>
    <w:p w14:paraId="2FCB0F30"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1C1271C4"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AA33111"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19E09E1"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16EDD921"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DAF790A"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FC35B5D"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5494B362"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7B2A412"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B4D2ED7"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B0AC1F3"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16BF6AEF"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8761CC7"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763AE2D8"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C1D6F88"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204C8003"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1D7B122"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AB3281D"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616B44F"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00FF106"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E9E411A" w14:textId="77777777" w:rsidR="000E242B" w:rsidRDefault="000E242B"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sectPr w:rsidR="000E242B" w:rsidSect="00CD4AA1">
      <w:headerReference w:type="default" r:id="rId7"/>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7F668" w14:textId="77777777" w:rsidR="00F11758" w:rsidRDefault="00F11758" w:rsidP="000E242B">
      <w:pPr>
        <w:spacing w:after="0" w:line="240" w:lineRule="auto"/>
      </w:pPr>
      <w:r>
        <w:separator/>
      </w:r>
    </w:p>
  </w:endnote>
  <w:endnote w:type="continuationSeparator" w:id="0">
    <w:p w14:paraId="629B332E" w14:textId="77777777" w:rsidR="00F11758" w:rsidRDefault="00F11758" w:rsidP="000E2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fficinaSansBookC">
    <w:altName w:val="Arial"/>
    <w:panose1 w:val="00000000000000000000"/>
    <w:charset w:val="00"/>
    <w:family w:val="swiss"/>
    <w:notTrueType/>
    <w:pitch w:val="default"/>
    <w:sig w:usb0="00000001" w:usb1="00000000" w:usb2="00000000" w:usb3="00000000" w:csb0="00000005" w:csb1="00000000"/>
  </w:font>
  <w:font w:name="OfficinaSansBoldC">
    <w:altName w:val="Arial"/>
    <w:panose1 w:val="00000000000000000000"/>
    <w:charset w:val="CC"/>
    <w:family w:val="swiss"/>
    <w:notTrueType/>
    <w:pitch w:val="default"/>
    <w:sig w:usb0="00000001" w:usb1="00000000" w:usb2="00000000" w:usb3="00000000" w:csb0="00000005" w:csb1="00000000"/>
  </w:font>
  <w:font w:name="PT Sans">
    <w:altName w:val="Arial"/>
    <w:panose1 w:val="00000000000000000000"/>
    <w:charset w:val="00"/>
    <w:family w:val="swiss"/>
    <w:notTrueType/>
    <w:pitch w:val="default"/>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E00E5" w14:textId="77777777" w:rsidR="00F11758" w:rsidRDefault="00F11758" w:rsidP="000E242B">
      <w:pPr>
        <w:spacing w:after="0" w:line="240" w:lineRule="auto"/>
      </w:pPr>
      <w:r>
        <w:separator/>
      </w:r>
    </w:p>
  </w:footnote>
  <w:footnote w:type="continuationSeparator" w:id="0">
    <w:p w14:paraId="7D280A1D" w14:textId="77777777" w:rsidR="00F11758" w:rsidRDefault="00F11758" w:rsidP="000E242B">
      <w:pPr>
        <w:spacing w:after="0" w:line="240" w:lineRule="auto"/>
      </w:pPr>
      <w:r>
        <w:continuationSeparator/>
      </w:r>
    </w:p>
  </w:footnote>
  <w:footnote w:id="1">
    <w:p w14:paraId="5139D960" w14:textId="77777777" w:rsidR="00BF5822" w:rsidRDefault="00BF5822" w:rsidP="000E242B">
      <w:pPr>
        <w:pStyle w:val="a6"/>
        <w:jc w:val="both"/>
        <w:rPr>
          <w:rFonts w:ascii="Times New Roman" w:hAnsi="Times New Roman" w:cs="Times New Roman"/>
        </w:rPr>
      </w:pPr>
      <w:r>
        <w:rPr>
          <w:rStyle w:val="af"/>
          <w:rFonts w:ascii="Times New Roman" w:hAnsi="Times New Roman" w:cs="Times New Roman"/>
        </w:rPr>
        <w:footnoteRef/>
      </w:r>
      <w:r>
        <w:rPr>
          <w:rFonts w:ascii="Times New Roman" w:hAnsi="Times New Roman" w:cs="Times New Roman"/>
        </w:rPr>
        <w:t xml:space="preserve"> Федеральные законы, регулирующие отношения, которые возникают в определенной сфере, например, в сфере образования, в сфере охраны здоровья граждан (Федеральный закон от 29 декабря 2012 г. № 273-ФЗ «Об образовании в Российской Федерации», Федеральный закон от 21 ноября 2011 г. № 323-ФЗ «Об основах охраны здоровья граждан в Российской Федерации»), содержат понятие конфликта интересов с учетом особенностей сферы общественных отношений, которые они регулируют.</w:t>
      </w:r>
    </w:p>
  </w:footnote>
  <w:footnote w:id="2">
    <w:p w14:paraId="3355171C" w14:textId="7D67024E" w:rsidR="00BF5822" w:rsidRDefault="00BF5822" w:rsidP="00CD4AA1">
      <w:pPr>
        <w:pStyle w:val="a6"/>
        <w:tabs>
          <w:tab w:val="left" w:pos="2844"/>
        </w:tabs>
        <w:jc w:val="both"/>
        <w:rPr>
          <w:rFonts w:ascii="Times New Roman" w:hAnsi="Times New Roman" w:cs="Times New Roman"/>
        </w:rPr>
      </w:pPr>
    </w:p>
  </w:footnote>
  <w:footnote w:id="3">
    <w:p w14:paraId="400A58AF" w14:textId="77777777" w:rsidR="00BF5822" w:rsidRDefault="00BF5822" w:rsidP="000E242B">
      <w:pPr>
        <w:pStyle w:val="a6"/>
        <w:jc w:val="both"/>
        <w:rPr>
          <w:rFonts w:ascii="Times New Roman" w:hAnsi="Times New Roman" w:cs="Times New Roman"/>
        </w:rPr>
      </w:pPr>
      <w:r>
        <w:rPr>
          <w:rStyle w:val="af"/>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color w:val="000000"/>
          <w:sz w:val="18"/>
          <w:szCs w:val="18"/>
        </w:rPr>
        <w:t>В отношении дарения подарков работникам образовательных организаций супругами и (или) родственниками граждан, обучающихся в этих организациях, действует норма, закрепленная пунктом 1 статьи 575 Гражданского кодекса 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928532"/>
      <w:docPartObj>
        <w:docPartGallery w:val="Page Numbers (Top of Page)"/>
        <w:docPartUnique/>
      </w:docPartObj>
    </w:sdtPr>
    <w:sdtEndPr>
      <w:rPr>
        <w:rFonts w:ascii="Times New Roman" w:hAnsi="Times New Roman" w:cs="Times New Roman"/>
      </w:rPr>
    </w:sdtEndPr>
    <w:sdtContent>
      <w:p w14:paraId="3016720A" w14:textId="77777777" w:rsidR="00BF5822" w:rsidRPr="007A7D0B" w:rsidRDefault="00BF5822">
        <w:pPr>
          <w:pStyle w:val="a8"/>
          <w:jc w:val="center"/>
          <w:rPr>
            <w:rFonts w:ascii="Times New Roman" w:hAnsi="Times New Roman" w:cs="Times New Roman"/>
          </w:rPr>
        </w:pPr>
        <w:r w:rsidRPr="007A7D0B">
          <w:rPr>
            <w:rFonts w:ascii="Times New Roman" w:hAnsi="Times New Roman" w:cs="Times New Roman"/>
          </w:rPr>
          <w:fldChar w:fldCharType="begin"/>
        </w:r>
        <w:r w:rsidRPr="007A7D0B">
          <w:rPr>
            <w:rFonts w:ascii="Times New Roman" w:hAnsi="Times New Roman" w:cs="Times New Roman"/>
          </w:rPr>
          <w:instrText>PAGE   \* MERGEFORMAT</w:instrText>
        </w:r>
        <w:r w:rsidRPr="007A7D0B">
          <w:rPr>
            <w:rFonts w:ascii="Times New Roman" w:hAnsi="Times New Roman" w:cs="Times New Roman"/>
          </w:rPr>
          <w:fldChar w:fldCharType="separate"/>
        </w:r>
        <w:r w:rsidR="00AB644E">
          <w:rPr>
            <w:rFonts w:ascii="Times New Roman" w:hAnsi="Times New Roman" w:cs="Times New Roman"/>
            <w:noProof/>
          </w:rPr>
          <w:t>37</w:t>
        </w:r>
        <w:r w:rsidRPr="007A7D0B">
          <w:rPr>
            <w:rFonts w:ascii="Times New Roman" w:hAnsi="Times New Roman" w:cs="Times New Roman"/>
          </w:rPr>
          <w:fldChar w:fldCharType="end"/>
        </w:r>
      </w:p>
    </w:sdtContent>
  </w:sdt>
  <w:p w14:paraId="6821B096" w14:textId="77777777" w:rsidR="00BF5822" w:rsidRDefault="00BF582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E4395"/>
    <w:multiLevelType w:val="hybridMultilevel"/>
    <w:tmpl w:val="E856BD1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1C95360"/>
    <w:multiLevelType w:val="hybridMultilevel"/>
    <w:tmpl w:val="BDBC53D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31AB1D69"/>
    <w:multiLevelType w:val="hybridMultilevel"/>
    <w:tmpl w:val="024C9D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AB6154D"/>
    <w:multiLevelType w:val="hybridMultilevel"/>
    <w:tmpl w:val="ABE637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15:restartNumberingAfterBreak="0">
    <w:nsid w:val="3AD407B4"/>
    <w:multiLevelType w:val="hybridMultilevel"/>
    <w:tmpl w:val="677C85A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5423ED5"/>
    <w:multiLevelType w:val="multilevel"/>
    <w:tmpl w:val="98E40382"/>
    <w:lvl w:ilvl="0">
      <w:start w:val="1"/>
      <w:numFmt w:val="decimal"/>
      <w:lvlText w:val="%1."/>
      <w:lvlJc w:val="left"/>
      <w:pPr>
        <w:ind w:left="1069" w:hanging="360"/>
      </w:pPr>
    </w:lvl>
    <w:lvl w:ilvl="1">
      <w:start w:val="2"/>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2149" w:hanging="144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869" w:hanging="2160"/>
      </w:pPr>
    </w:lvl>
    <w:lvl w:ilvl="8">
      <w:start w:val="1"/>
      <w:numFmt w:val="decimal"/>
      <w:isLgl/>
      <w:lvlText w:val="%1.%2.%3.%4.%5.%6.%7.%8.%9."/>
      <w:lvlJc w:val="left"/>
      <w:pPr>
        <w:ind w:left="2869" w:hanging="2160"/>
      </w:pPr>
    </w:lvl>
  </w:abstractNum>
  <w:abstractNum w:abstractNumId="6" w15:restartNumberingAfterBreak="0">
    <w:nsid w:val="47775DC6"/>
    <w:multiLevelType w:val="hybridMultilevel"/>
    <w:tmpl w:val="8580E9D8"/>
    <w:lvl w:ilvl="0" w:tplc="696CAC02">
      <w:start w:val="1"/>
      <w:numFmt w:val="bullet"/>
      <w:lvlText w:val=""/>
      <w:lvlJc w:val="left"/>
      <w:pPr>
        <w:ind w:left="1200" w:hanging="360"/>
      </w:pPr>
      <w:rPr>
        <w:rFonts w:ascii="Wingdings" w:hAnsi="Wingdings" w:hint="default"/>
        <w:b/>
        <w:color w:val="C00000"/>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hint="default"/>
      </w:rPr>
    </w:lvl>
    <w:lvl w:ilvl="3" w:tplc="04190001">
      <w:start w:val="1"/>
      <w:numFmt w:val="bullet"/>
      <w:lvlText w:val=""/>
      <w:lvlJc w:val="left"/>
      <w:pPr>
        <w:ind w:left="3360" w:hanging="360"/>
      </w:pPr>
      <w:rPr>
        <w:rFonts w:ascii="Symbol" w:hAnsi="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hint="default"/>
      </w:rPr>
    </w:lvl>
    <w:lvl w:ilvl="6" w:tplc="04190001">
      <w:start w:val="1"/>
      <w:numFmt w:val="bullet"/>
      <w:lvlText w:val=""/>
      <w:lvlJc w:val="left"/>
      <w:pPr>
        <w:ind w:left="5520" w:hanging="360"/>
      </w:pPr>
      <w:rPr>
        <w:rFonts w:ascii="Symbol" w:hAnsi="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hint="default"/>
      </w:rPr>
    </w:lvl>
  </w:abstractNum>
  <w:abstractNum w:abstractNumId="7" w15:restartNumberingAfterBreak="0">
    <w:nsid w:val="516A28B0"/>
    <w:multiLevelType w:val="hybridMultilevel"/>
    <w:tmpl w:val="A2AC314A"/>
    <w:lvl w:ilvl="0" w:tplc="0419000D">
      <w:start w:val="1"/>
      <w:numFmt w:val="bullet"/>
      <w:lvlText w:val=""/>
      <w:lvlJc w:val="left"/>
      <w:pPr>
        <w:ind w:left="720" w:hanging="360"/>
      </w:pPr>
      <w:rPr>
        <w:rFonts w:ascii="Wingdings" w:hAnsi="Wingdings" w:hint="default"/>
      </w:rPr>
    </w:lvl>
    <w:lvl w:ilvl="1" w:tplc="3DA2D64C">
      <w:numFmt w:val="bullet"/>
      <w:lvlText w:val="•"/>
      <w:lvlJc w:val="left"/>
      <w:pPr>
        <w:ind w:left="1440" w:hanging="360"/>
      </w:pPr>
      <w:rPr>
        <w:rFonts w:ascii="Times New Roman" w:eastAsiaTheme="minorHAns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A1E3448"/>
    <w:multiLevelType w:val="hybridMultilevel"/>
    <w:tmpl w:val="CE6E055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C6B5A45"/>
    <w:multiLevelType w:val="hybridMultilevel"/>
    <w:tmpl w:val="8E1098A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C7B3E04"/>
    <w:multiLevelType w:val="hybridMultilevel"/>
    <w:tmpl w:val="CC38118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01165A"/>
    <w:multiLevelType w:val="hybridMultilevel"/>
    <w:tmpl w:val="8DC0721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00"/>
    <w:rsid w:val="000020D8"/>
    <w:rsid w:val="00030300"/>
    <w:rsid w:val="000363A4"/>
    <w:rsid w:val="0004506E"/>
    <w:rsid w:val="0004719A"/>
    <w:rsid w:val="000E242B"/>
    <w:rsid w:val="000F41CF"/>
    <w:rsid w:val="00132319"/>
    <w:rsid w:val="001503F8"/>
    <w:rsid w:val="001B3219"/>
    <w:rsid w:val="001B47E0"/>
    <w:rsid w:val="001F2741"/>
    <w:rsid w:val="00251B36"/>
    <w:rsid w:val="002874F3"/>
    <w:rsid w:val="002A4E9D"/>
    <w:rsid w:val="002D4B00"/>
    <w:rsid w:val="0033080E"/>
    <w:rsid w:val="00331F37"/>
    <w:rsid w:val="0033476E"/>
    <w:rsid w:val="00344DAD"/>
    <w:rsid w:val="00346F7F"/>
    <w:rsid w:val="00351B4B"/>
    <w:rsid w:val="003C16F0"/>
    <w:rsid w:val="003C5CCB"/>
    <w:rsid w:val="003F6D03"/>
    <w:rsid w:val="00433CD7"/>
    <w:rsid w:val="004537DC"/>
    <w:rsid w:val="00461B50"/>
    <w:rsid w:val="00464AA6"/>
    <w:rsid w:val="004745F4"/>
    <w:rsid w:val="004D2AA2"/>
    <w:rsid w:val="005649E7"/>
    <w:rsid w:val="005A51A6"/>
    <w:rsid w:val="005A6BE1"/>
    <w:rsid w:val="005D09BF"/>
    <w:rsid w:val="005D6528"/>
    <w:rsid w:val="00624689"/>
    <w:rsid w:val="006C0CB0"/>
    <w:rsid w:val="006E2834"/>
    <w:rsid w:val="007101F9"/>
    <w:rsid w:val="0072302F"/>
    <w:rsid w:val="00756931"/>
    <w:rsid w:val="00757AEE"/>
    <w:rsid w:val="007A7D0B"/>
    <w:rsid w:val="007B0D95"/>
    <w:rsid w:val="007E1B66"/>
    <w:rsid w:val="008545E8"/>
    <w:rsid w:val="00867752"/>
    <w:rsid w:val="008B273B"/>
    <w:rsid w:val="008B3339"/>
    <w:rsid w:val="008C1DAF"/>
    <w:rsid w:val="00911108"/>
    <w:rsid w:val="00937E6D"/>
    <w:rsid w:val="00977B1B"/>
    <w:rsid w:val="00992C37"/>
    <w:rsid w:val="009C3034"/>
    <w:rsid w:val="009D59D7"/>
    <w:rsid w:val="009F0386"/>
    <w:rsid w:val="009F2EE8"/>
    <w:rsid w:val="009F6633"/>
    <w:rsid w:val="00A63518"/>
    <w:rsid w:val="00A77557"/>
    <w:rsid w:val="00AB644E"/>
    <w:rsid w:val="00AB6768"/>
    <w:rsid w:val="00B1311F"/>
    <w:rsid w:val="00B17BA4"/>
    <w:rsid w:val="00B2758C"/>
    <w:rsid w:val="00B458D7"/>
    <w:rsid w:val="00B4617E"/>
    <w:rsid w:val="00BB2E4C"/>
    <w:rsid w:val="00BC53DC"/>
    <w:rsid w:val="00BD5C05"/>
    <w:rsid w:val="00BF5822"/>
    <w:rsid w:val="00C46714"/>
    <w:rsid w:val="00C46F64"/>
    <w:rsid w:val="00C50C26"/>
    <w:rsid w:val="00C62926"/>
    <w:rsid w:val="00C85137"/>
    <w:rsid w:val="00CA7812"/>
    <w:rsid w:val="00CD4AA1"/>
    <w:rsid w:val="00D322FF"/>
    <w:rsid w:val="00D43685"/>
    <w:rsid w:val="00D52475"/>
    <w:rsid w:val="00D81731"/>
    <w:rsid w:val="00D97093"/>
    <w:rsid w:val="00DE4CC1"/>
    <w:rsid w:val="00E15831"/>
    <w:rsid w:val="00EF4C3C"/>
    <w:rsid w:val="00F01CD1"/>
    <w:rsid w:val="00F11758"/>
    <w:rsid w:val="00F73B91"/>
    <w:rsid w:val="00F832A7"/>
    <w:rsid w:val="00F84DD4"/>
    <w:rsid w:val="00FC480B"/>
    <w:rsid w:val="00FD1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490B0"/>
  <w15:docId w15:val="{A523B0AB-F75C-41B6-B2F8-0650BEE9F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242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42B"/>
    <w:rPr>
      <w:color w:val="0563C1" w:themeColor="hyperlink"/>
      <w:u w:val="single"/>
    </w:rPr>
  </w:style>
  <w:style w:type="character" w:styleId="a4">
    <w:name w:val="FollowedHyperlink"/>
    <w:basedOn w:val="a0"/>
    <w:uiPriority w:val="99"/>
    <w:semiHidden/>
    <w:unhideWhenUsed/>
    <w:rsid w:val="000E242B"/>
    <w:rPr>
      <w:color w:val="954F72" w:themeColor="followedHyperlink"/>
      <w:u w:val="single"/>
    </w:rPr>
  </w:style>
  <w:style w:type="paragraph" w:customStyle="1" w:styleId="msonormal0">
    <w:name w:val="msonormal"/>
    <w:basedOn w:val="a"/>
    <w:uiPriority w:val="99"/>
    <w:semiHidden/>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0E242B"/>
    <w:pPr>
      <w:spacing w:after="0" w:line="240" w:lineRule="auto"/>
    </w:pPr>
    <w:rPr>
      <w:sz w:val="20"/>
      <w:szCs w:val="20"/>
    </w:rPr>
  </w:style>
  <w:style w:type="character" w:customStyle="1" w:styleId="a7">
    <w:name w:val="Текст сноски Знак"/>
    <w:basedOn w:val="a0"/>
    <w:link w:val="a6"/>
    <w:uiPriority w:val="99"/>
    <w:semiHidden/>
    <w:rsid w:val="000E242B"/>
    <w:rPr>
      <w:sz w:val="20"/>
      <w:szCs w:val="20"/>
    </w:rPr>
  </w:style>
  <w:style w:type="paragraph" w:styleId="a8">
    <w:name w:val="header"/>
    <w:basedOn w:val="a"/>
    <w:link w:val="a9"/>
    <w:uiPriority w:val="99"/>
    <w:unhideWhenUsed/>
    <w:rsid w:val="000E242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E242B"/>
  </w:style>
  <w:style w:type="paragraph" w:styleId="aa">
    <w:name w:val="footer"/>
    <w:basedOn w:val="a"/>
    <w:link w:val="ab"/>
    <w:uiPriority w:val="99"/>
    <w:unhideWhenUsed/>
    <w:rsid w:val="000E242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E242B"/>
  </w:style>
  <w:style w:type="paragraph" w:styleId="ac">
    <w:name w:val="Balloon Text"/>
    <w:basedOn w:val="a"/>
    <w:link w:val="ad"/>
    <w:uiPriority w:val="99"/>
    <w:semiHidden/>
    <w:unhideWhenUsed/>
    <w:rsid w:val="000E242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E242B"/>
    <w:rPr>
      <w:rFonts w:ascii="Segoe UI" w:hAnsi="Segoe UI" w:cs="Segoe UI"/>
      <w:sz w:val="18"/>
      <w:szCs w:val="18"/>
    </w:rPr>
  </w:style>
  <w:style w:type="paragraph" w:styleId="ae">
    <w:name w:val="List Paragraph"/>
    <w:basedOn w:val="a"/>
    <w:uiPriority w:val="34"/>
    <w:qFormat/>
    <w:rsid w:val="000E242B"/>
    <w:pPr>
      <w:ind w:left="720"/>
      <w:contextualSpacing/>
    </w:pPr>
  </w:style>
  <w:style w:type="paragraph" w:customStyle="1" w:styleId="Default">
    <w:name w:val="Default"/>
    <w:uiPriority w:val="99"/>
    <w:semiHidden/>
    <w:rsid w:val="000E242B"/>
    <w:pPr>
      <w:autoSpaceDE w:val="0"/>
      <w:autoSpaceDN w:val="0"/>
      <w:adjustRightInd w:val="0"/>
      <w:spacing w:after="0" w:line="240" w:lineRule="auto"/>
    </w:pPr>
    <w:rPr>
      <w:rFonts w:ascii="OfficinaSansBookC" w:hAnsi="OfficinaSansBookC" w:cs="OfficinaSansBookC"/>
      <w:color w:val="000000"/>
      <w:sz w:val="24"/>
      <w:szCs w:val="24"/>
    </w:rPr>
  </w:style>
  <w:style w:type="paragraph" w:customStyle="1" w:styleId="Pa0">
    <w:name w:val="Pa0"/>
    <w:basedOn w:val="Default"/>
    <w:next w:val="Default"/>
    <w:uiPriority w:val="99"/>
    <w:semiHidden/>
    <w:rsid w:val="000E242B"/>
    <w:pPr>
      <w:spacing w:line="237" w:lineRule="atLeast"/>
    </w:pPr>
    <w:rPr>
      <w:rFonts w:cstheme="minorBidi"/>
      <w:color w:val="auto"/>
    </w:rPr>
  </w:style>
  <w:style w:type="paragraph" w:customStyle="1" w:styleId="Pa2">
    <w:name w:val="Pa2"/>
    <w:basedOn w:val="Default"/>
    <w:next w:val="Default"/>
    <w:uiPriority w:val="99"/>
    <w:semiHidden/>
    <w:rsid w:val="000E242B"/>
    <w:pPr>
      <w:spacing w:line="321" w:lineRule="atLeast"/>
    </w:pPr>
    <w:rPr>
      <w:rFonts w:cstheme="minorBidi"/>
      <w:color w:val="auto"/>
    </w:rPr>
  </w:style>
  <w:style w:type="paragraph" w:customStyle="1" w:styleId="Pa3">
    <w:name w:val="Pa3"/>
    <w:basedOn w:val="Default"/>
    <w:next w:val="Default"/>
    <w:uiPriority w:val="99"/>
    <w:semiHidden/>
    <w:rsid w:val="000E242B"/>
    <w:pPr>
      <w:spacing w:line="281" w:lineRule="atLeast"/>
    </w:pPr>
    <w:rPr>
      <w:rFonts w:cstheme="minorBidi"/>
      <w:color w:val="auto"/>
    </w:rPr>
  </w:style>
  <w:style w:type="paragraph" w:customStyle="1" w:styleId="Pa4">
    <w:name w:val="Pa4"/>
    <w:basedOn w:val="Default"/>
    <w:next w:val="Default"/>
    <w:uiPriority w:val="99"/>
    <w:semiHidden/>
    <w:rsid w:val="000E242B"/>
    <w:pPr>
      <w:spacing w:line="161" w:lineRule="atLeast"/>
    </w:pPr>
    <w:rPr>
      <w:rFonts w:cstheme="minorBidi"/>
      <w:color w:val="auto"/>
    </w:rPr>
  </w:style>
  <w:style w:type="paragraph" w:customStyle="1" w:styleId="Pa5">
    <w:name w:val="Pa5"/>
    <w:basedOn w:val="Default"/>
    <w:next w:val="Default"/>
    <w:uiPriority w:val="99"/>
    <w:semiHidden/>
    <w:rsid w:val="000E242B"/>
    <w:pPr>
      <w:spacing w:line="237" w:lineRule="atLeast"/>
    </w:pPr>
    <w:rPr>
      <w:rFonts w:cstheme="minorBidi"/>
      <w:color w:val="auto"/>
    </w:rPr>
  </w:style>
  <w:style w:type="paragraph" w:customStyle="1" w:styleId="Pa18">
    <w:name w:val="Pa18"/>
    <w:basedOn w:val="Default"/>
    <w:next w:val="Default"/>
    <w:uiPriority w:val="99"/>
    <w:semiHidden/>
    <w:rsid w:val="000E242B"/>
    <w:pPr>
      <w:spacing w:line="241" w:lineRule="atLeast"/>
    </w:pPr>
    <w:rPr>
      <w:rFonts w:cstheme="minorBidi"/>
      <w:color w:val="auto"/>
    </w:rPr>
  </w:style>
  <w:style w:type="paragraph" w:customStyle="1" w:styleId="Pa19">
    <w:name w:val="Pa19"/>
    <w:basedOn w:val="Default"/>
    <w:next w:val="Default"/>
    <w:uiPriority w:val="99"/>
    <w:semiHidden/>
    <w:rsid w:val="000E242B"/>
    <w:pPr>
      <w:spacing w:line="241" w:lineRule="atLeast"/>
    </w:pPr>
    <w:rPr>
      <w:rFonts w:cstheme="minorBidi"/>
      <w:color w:val="auto"/>
    </w:rPr>
  </w:style>
  <w:style w:type="paragraph" w:customStyle="1" w:styleId="Pa8">
    <w:name w:val="Pa8"/>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4">
    <w:name w:val="Pa14"/>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
    <w:name w:val="Pa1"/>
    <w:basedOn w:val="Default"/>
    <w:next w:val="Default"/>
    <w:uiPriority w:val="99"/>
    <w:semiHidden/>
    <w:rsid w:val="000E242B"/>
    <w:pPr>
      <w:spacing w:line="237" w:lineRule="atLeast"/>
    </w:pPr>
    <w:rPr>
      <w:rFonts w:cstheme="minorBidi"/>
      <w:color w:val="auto"/>
    </w:rPr>
  </w:style>
  <w:style w:type="paragraph" w:customStyle="1" w:styleId="Pa27">
    <w:name w:val="Pa27"/>
    <w:basedOn w:val="Default"/>
    <w:next w:val="Default"/>
    <w:uiPriority w:val="99"/>
    <w:semiHidden/>
    <w:rsid w:val="000E242B"/>
    <w:pPr>
      <w:spacing w:line="237" w:lineRule="atLeast"/>
    </w:pPr>
    <w:rPr>
      <w:rFonts w:cstheme="minorBidi"/>
      <w:color w:val="auto"/>
    </w:rPr>
  </w:style>
  <w:style w:type="paragraph" w:customStyle="1" w:styleId="Pa28">
    <w:name w:val="Pa28"/>
    <w:basedOn w:val="Default"/>
    <w:next w:val="Default"/>
    <w:uiPriority w:val="99"/>
    <w:semiHidden/>
    <w:rsid w:val="000E242B"/>
    <w:pPr>
      <w:spacing w:line="141" w:lineRule="atLeast"/>
    </w:pPr>
    <w:rPr>
      <w:rFonts w:cstheme="minorBidi"/>
      <w:color w:val="auto"/>
    </w:rPr>
  </w:style>
  <w:style w:type="paragraph" w:customStyle="1" w:styleId="Pa15">
    <w:name w:val="Pa15"/>
    <w:basedOn w:val="Default"/>
    <w:next w:val="Default"/>
    <w:uiPriority w:val="99"/>
    <w:semiHidden/>
    <w:rsid w:val="000E242B"/>
    <w:pPr>
      <w:spacing w:line="141" w:lineRule="atLeast"/>
    </w:pPr>
    <w:rPr>
      <w:rFonts w:cstheme="minorBidi"/>
      <w:color w:val="auto"/>
    </w:rPr>
  </w:style>
  <w:style w:type="paragraph" w:customStyle="1" w:styleId="Pa10">
    <w:name w:val="Pa10"/>
    <w:basedOn w:val="Default"/>
    <w:next w:val="Default"/>
    <w:uiPriority w:val="99"/>
    <w:semiHidden/>
    <w:rsid w:val="000E242B"/>
    <w:pPr>
      <w:spacing w:line="201" w:lineRule="atLeast"/>
    </w:pPr>
    <w:rPr>
      <w:rFonts w:cstheme="minorBidi"/>
      <w:color w:val="auto"/>
    </w:rPr>
  </w:style>
  <w:style w:type="paragraph" w:customStyle="1" w:styleId="Pa30">
    <w:name w:val="Pa30"/>
    <w:basedOn w:val="Default"/>
    <w:next w:val="Default"/>
    <w:uiPriority w:val="99"/>
    <w:semiHidden/>
    <w:rsid w:val="000E242B"/>
    <w:pPr>
      <w:spacing w:line="237" w:lineRule="atLeast"/>
    </w:pPr>
    <w:rPr>
      <w:rFonts w:cstheme="minorBidi"/>
      <w:color w:val="auto"/>
    </w:rPr>
  </w:style>
  <w:style w:type="paragraph" w:customStyle="1" w:styleId="Pa6">
    <w:name w:val="Pa6"/>
    <w:basedOn w:val="Default"/>
    <w:next w:val="Default"/>
    <w:uiPriority w:val="99"/>
    <w:semiHidden/>
    <w:rsid w:val="000E242B"/>
    <w:pPr>
      <w:spacing w:line="181" w:lineRule="atLeast"/>
    </w:pPr>
    <w:rPr>
      <w:rFonts w:cstheme="minorBidi"/>
      <w:color w:val="auto"/>
    </w:rPr>
  </w:style>
  <w:style w:type="character" w:styleId="af">
    <w:name w:val="footnote reference"/>
    <w:basedOn w:val="a0"/>
    <w:uiPriority w:val="99"/>
    <w:semiHidden/>
    <w:unhideWhenUsed/>
    <w:rsid w:val="000E242B"/>
    <w:rPr>
      <w:vertAlign w:val="superscript"/>
    </w:rPr>
  </w:style>
  <w:style w:type="character" w:styleId="af0">
    <w:name w:val="Placeholder Text"/>
    <w:basedOn w:val="a0"/>
    <w:uiPriority w:val="99"/>
    <w:semiHidden/>
    <w:rsid w:val="000E242B"/>
    <w:rPr>
      <w:color w:val="808080"/>
    </w:rPr>
  </w:style>
  <w:style w:type="character" w:customStyle="1" w:styleId="A20">
    <w:name w:val="A2"/>
    <w:uiPriority w:val="99"/>
    <w:rsid w:val="000E242B"/>
    <w:rPr>
      <w:rFonts w:ascii="OfficinaSansBookC" w:hAnsi="OfficinaSansBookC" w:cs="OfficinaSansBookC" w:hint="default"/>
      <w:color w:val="000000"/>
      <w:sz w:val="36"/>
      <w:szCs w:val="36"/>
    </w:rPr>
  </w:style>
  <w:style w:type="character" w:customStyle="1" w:styleId="A30">
    <w:name w:val="A3"/>
    <w:uiPriority w:val="99"/>
    <w:rsid w:val="000E242B"/>
    <w:rPr>
      <w:rFonts w:ascii="PT Sans" w:hAnsi="PT Sans" w:cs="PT Sans" w:hint="default"/>
      <w:b/>
      <w:bCs/>
      <w:color w:val="000000"/>
      <w:sz w:val="19"/>
      <w:szCs w:val="19"/>
    </w:rPr>
  </w:style>
  <w:style w:type="character" w:customStyle="1" w:styleId="A80">
    <w:name w:val="A8"/>
    <w:uiPriority w:val="99"/>
    <w:rsid w:val="000E242B"/>
    <w:rPr>
      <w:rFonts w:ascii="OfficinaSansBookC" w:hAnsi="OfficinaSansBookC" w:cs="OfficinaSansBookC" w:hint="default"/>
      <w:color w:val="000000"/>
      <w:sz w:val="18"/>
      <w:szCs w:val="18"/>
    </w:rPr>
  </w:style>
  <w:style w:type="character" w:customStyle="1" w:styleId="A14">
    <w:name w:val="A14"/>
    <w:uiPriority w:val="99"/>
    <w:rsid w:val="000E242B"/>
    <w:rPr>
      <w:rFonts w:ascii="OfficinaSansBookC" w:hAnsi="OfficinaSansBookC" w:cs="OfficinaSansBookC" w:hint="default"/>
      <w:color w:val="000000"/>
    </w:rPr>
  </w:style>
  <w:style w:type="character" w:customStyle="1" w:styleId="A10">
    <w:name w:val="A10"/>
    <w:uiPriority w:val="99"/>
    <w:rsid w:val="000E242B"/>
    <w:rPr>
      <w:rFonts w:ascii="OfficinaSansBookC" w:hAnsi="OfficinaSansBookC" w:cs="OfficinaSansBookC" w:hint="default"/>
      <w:color w:val="000000"/>
      <w:sz w:val="20"/>
      <w:szCs w:val="20"/>
    </w:rPr>
  </w:style>
  <w:style w:type="character" w:customStyle="1" w:styleId="A90">
    <w:name w:val="A9"/>
    <w:uiPriority w:val="99"/>
    <w:rsid w:val="000E242B"/>
    <w:rPr>
      <w:rFonts w:ascii="OfficinaSansBookC" w:hAnsi="OfficinaSansBookC" w:cs="OfficinaSansBookC" w:hint="default"/>
      <w:color w:val="000000"/>
      <w:sz w:val="13"/>
      <w:szCs w:val="13"/>
    </w:rPr>
  </w:style>
  <w:style w:type="character" w:customStyle="1" w:styleId="A70">
    <w:name w:val="A7"/>
    <w:uiPriority w:val="99"/>
    <w:rsid w:val="000E242B"/>
    <w:rPr>
      <w:rFonts w:ascii="OfficinaSansBookC" w:hAnsi="OfficinaSansBookC" w:cs="OfficinaSansBookC" w:hint="default"/>
      <w:color w:val="000000"/>
      <w:sz w:val="10"/>
      <w:szCs w:val="10"/>
    </w:rPr>
  </w:style>
  <w:style w:type="table" w:styleId="af1">
    <w:name w:val="Table Grid"/>
    <w:basedOn w:val="a1"/>
    <w:uiPriority w:val="3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01545">
      <w:bodyDiv w:val="1"/>
      <w:marLeft w:val="0"/>
      <w:marRight w:val="0"/>
      <w:marTop w:val="0"/>
      <w:marBottom w:val="0"/>
      <w:divBdr>
        <w:top w:val="none" w:sz="0" w:space="0" w:color="auto"/>
        <w:left w:val="none" w:sz="0" w:space="0" w:color="auto"/>
        <w:bottom w:val="none" w:sz="0" w:space="0" w:color="auto"/>
        <w:right w:val="none" w:sz="0" w:space="0" w:color="auto"/>
      </w:divBdr>
    </w:div>
    <w:div w:id="166076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4113</Words>
  <Characters>23445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Коробова Юлия Валериевна</dc:creator>
  <cp:lastModifiedBy>игорь шималов</cp:lastModifiedBy>
  <cp:revision>3</cp:revision>
  <dcterms:created xsi:type="dcterms:W3CDTF">2021-07-28T09:25:00Z</dcterms:created>
  <dcterms:modified xsi:type="dcterms:W3CDTF">2021-07-28T14:37:00Z</dcterms:modified>
</cp:coreProperties>
</file>