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07192" w14:textId="71E65B19" w:rsidR="000E242B" w:rsidRDefault="002874F3" w:rsidP="002874F3">
      <w:pPr>
        <w:tabs>
          <w:tab w:val="left" w:pos="417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Calibri"/>
          <w:sz w:val="28"/>
        </w:rPr>
        <w:tab/>
      </w:r>
    </w:p>
    <w:p w14:paraId="00E4610E" w14:textId="77777777" w:rsidR="00F5596C" w:rsidRDefault="00F5596C" w:rsidP="00F5596C">
      <w:pPr>
        <w:autoSpaceDE w:val="0"/>
        <w:autoSpaceDN w:val="0"/>
        <w:adjustRightInd w:val="0"/>
        <w:spacing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УТВЕРЖДЕНО</w:t>
      </w:r>
    </w:p>
    <w:p w14:paraId="546C018B" w14:textId="77777777" w:rsidR="00F5596C" w:rsidRDefault="00F5596C" w:rsidP="00F5596C">
      <w:pPr>
        <w:autoSpaceDE w:val="0"/>
        <w:autoSpaceDN w:val="0"/>
        <w:adjustRightInd w:val="0"/>
        <w:spacing w:line="240" w:lineRule="auto"/>
        <w:ind w:firstLine="709"/>
        <w:contextualSpacing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приказом № 17А/ 01-09 от 05.09.2019 года </w:t>
      </w:r>
    </w:p>
    <w:p w14:paraId="1341C5A2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37F7D42" w14:textId="77777777" w:rsidR="009C3208" w:rsidRDefault="000E242B" w:rsidP="009C32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68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Правила обмена деловыми подарками и знаками делового гостеприимства в</w:t>
      </w:r>
      <w:r w:rsidR="009C320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9C3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муниципальном бюджетном учреждении дополнительного образования </w:t>
      </w:r>
    </w:p>
    <w:p w14:paraId="023720D5" w14:textId="463F3FCD" w:rsidR="009C3208" w:rsidRPr="009C3208" w:rsidRDefault="009C3208" w:rsidP="009C32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«Приморская детско-юношеская спортивная школа»</w:t>
      </w:r>
    </w:p>
    <w:p w14:paraId="021F84EA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0E3AC753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Общие положения </w:t>
      </w:r>
    </w:p>
    <w:p w14:paraId="7FFD651C" w14:textId="666281C5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1.1. Правила обмена деловыми подарками и знаками делового гостеприимства в</w:t>
      </w:r>
      <w:r w:rsidR="009C3208">
        <w:rPr>
          <w:rFonts w:ascii="Times New Roman" w:hAnsi="Times New Roman" w:cs="Times New Roman"/>
          <w:color w:val="000000"/>
          <w:sz w:val="24"/>
          <w:szCs w:val="24"/>
        </w:rPr>
        <w:t xml:space="preserve"> МБУ ДО «Приморская ДЮСШ»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(далее – Правила) разработаны в соответствии с положениями Конституции Российской Федерации, Федерального закона от 25 декабря 2008 г. № 273-ФЗ «О противодействии коррупции» и принятыми в соответствии с ними иными законодательными и локальными актами. </w:t>
      </w:r>
    </w:p>
    <w:p w14:paraId="371CEF97" w14:textId="5D9E7B25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1.2. Правила определяют единые для всех работников</w:t>
      </w:r>
      <w:r w:rsidR="009C3208">
        <w:rPr>
          <w:rFonts w:ascii="Times New Roman" w:hAnsi="Times New Roman" w:cs="Times New Roman"/>
          <w:color w:val="000000"/>
          <w:sz w:val="24"/>
          <w:szCs w:val="24"/>
        </w:rPr>
        <w:t xml:space="preserve"> МБУ ДО «Приморская ДЮСШ»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(далее – Учреждение) требования к дарению и принятию деловых подарков. </w:t>
      </w:r>
    </w:p>
    <w:p w14:paraId="6C20369D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1.3. Учреждение поддерживает корпоративную культуру, в которой деловые подарки, корпоративное гостеприимство и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деятельности Учреждения. </w:t>
      </w:r>
    </w:p>
    <w:p w14:paraId="2ADC1F2B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1.4. Учреждение исходит из того, что долговременные деловые отношения основываются на доверии и взаимном уважении. Отношения, при которых нарушается закон и принципы деловой этики, вредят репутации Учреждения и честному имени его работников, и не могут обеспечить устойчивое долговременное развитие Учреждения. Такого рода отношения не могут быть приемлемы в практике работы Учреждения. </w:t>
      </w:r>
    </w:p>
    <w:p w14:paraId="59A49175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1.5. Действие Правил распространяется на всех работников Учреждения, вне зависимости от уровня занимаемой должности. </w:t>
      </w:r>
    </w:p>
    <w:p w14:paraId="196D115E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1.6. Данные Правила преследуют следующие цели: </w:t>
      </w:r>
    </w:p>
    <w:p w14:paraId="08401127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обеспечение единообразного понимания роли и места деловых подарков, делового гостеприимства, представительских мероприятий в деловой практике Учреждения; </w:t>
      </w:r>
    </w:p>
    <w:p w14:paraId="1CDEBC05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осуществление управленческой и хозяйственной деятельности Учреждения исключительно на основе надлежащих норм и правил делового поведения, базирующихся на принципах качества предоставления услуг, защиты конкуренции, недопущения конфликта интересов; </w:t>
      </w:r>
    </w:p>
    <w:p w14:paraId="27DFBDCC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определение единых для всех работников Учреждения требований к дарению и принятию деловых подарков, к организации и участию в представительских мероприятиях; </w:t>
      </w:r>
    </w:p>
    <w:p w14:paraId="4D80F481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минимизирование рисков, связанных с возможным злоупотреблением в области подарков, представительских мероприятий. Наиболее серьезными из таких рисков являются опасность подкупа и взяточничество, несправедливость по отношению к контрагентам, протекционизм внутри Учреждения.</w:t>
      </w:r>
    </w:p>
    <w:p w14:paraId="6730D7F2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Требования, предъявляемые к деловым подаркам и знакам делового гостеприимства </w:t>
      </w:r>
    </w:p>
    <w:p w14:paraId="57D94C02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Работники Учреждения могут получать деловые подарки, знаки делового гостеприимства только на официальных мероприятиях, при условии, что это не противоречит требованиям антикоррупционного законодательства и настоящим Правилам. </w:t>
      </w:r>
    </w:p>
    <w:p w14:paraId="4645D48C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2.2. Подарки и услуги, принимаемые или предоставляемые Учреждением, передаются и принимаются только от имени Учреждения в целом, а не как подарок или передача его от отдельного работника. </w:t>
      </w:r>
    </w:p>
    <w:p w14:paraId="7FF7E74E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2.3. Деловые подарки, которые работники от имени Учреждения могут передавать другим лицам или принимать от других лиц в связи со своей трудовой деятельностью, а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также представительские расходы на деловое гостеприимство должны соответствовать следующим критериям: </w:t>
      </w:r>
    </w:p>
    <w:p w14:paraId="6471A37B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быть прямо связаны с уставными целями деятельности Учреждения, либо с памятными датами, юбилеями, общенациональными праздниками, иными событиями; </w:t>
      </w:r>
    </w:p>
    <w:p w14:paraId="7699812B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быть разумно обоснованными, соразмерными и не являться предметами роскоши; </w:t>
      </w:r>
    </w:p>
    <w:p w14:paraId="79FD4681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решений, либо попытку оказать влияние на получателя с иной незаконной или неэтичной целью; </w:t>
      </w:r>
    </w:p>
    <w:p w14:paraId="0486B4A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 создавать для получателя обязательства, связанные с его служебным положением или исполнением служебных (должностных) обязанностей; </w:t>
      </w:r>
    </w:p>
    <w:p w14:paraId="3ECE4DC1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 создавать репутационного риска для делового имиджа Учреждения, работников и иных лиц в случае раскрытия информации о совершенных подарках и понесенных представительских расходах; </w:t>
      </w:r>
    </w:p>
    <w:p w14:paraId="0B89B717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 противоречить принципам и требованиям антикоррупционного законодательства Российской Федерации, Положению об антикоррупционной политики в Учреждении, Кодексу этики и служебного поведения работников Учреждения и общепринятым нормам морали и нравственности. </w:t>
      </w:r>
    </w:p>
    <w:p w14:paraId="3D4195E4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2.4. Деловые подарки, в том числе в виде оказания услуг, знаков особого внимания и участия в развлекательных и аналогичных мероприятиях не должны ставить принимающую сторону в зависимое положение, приводить к возникновению каких-либо встречных обязательств со стороны получателя или оказывать влияние на объективность его деловых суждений и решений. </w:t>
      </w:r>
    </w:p>
    <w:p w14:paraId="18202FE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2.5. Стоимость и периодичность дарения и получения деловых подарков и/или участия в представительских мероприятиях одного и того же лица должны определяться деловой необходимостью и быть разумными. </w:t>
      </w:r>
    </w:p>
    <w:p w14:paraId="25DBB114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2.6. В качестве подарков работники Учреждения должны стремиться использовать в максимально допустимом количестве случаев сувениры, предметы и изделия, имеющие символику Учреждения. </w:t>
      </w:r>
    </w:p>
    <w:p w14:paraId="78250A27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2.7. Подарки и услуги не должны ставить под сомнение имидж или деловую репутацию Учреждения или его работников. </w:t>
      </w:r>
    </w:p>
    <w:p w14:paraId="40037BB8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Права и обязанности работников Учреждения при обмене деловыми подарками и знаками делового гостеприимства </w:t>
      </w:r>
    </w:p>
    <w:p w14:paraId="60AE1DEE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3.1. Работники, представляя интересы Учреждения или действуя от его имени, должны соблюдать границы допустимого поведения при обмене деловыми подарками и проявлении делового гостеприимства. </w:t>
      </w:r>
    </w:p>
    <w:p w14:paraId="12BF165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Работники Учреждения вправе дарить третьим лицам и получать от них деловые подарки, организовывать и участвовать в представительских мероприятиях, если это законно, этично и делается исключительно в деловых целях, определенных настоящими Правилами. </w:t>
      </w:r>
    </w:p>
    <w:p w14:paraId="47C9E4F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3.3. При любых сомнениях в правомерности или этичности своих действий работники Учреждения обязаны поставить в известность руководителя Учреждения и проконсультироваться с ним, прежде чем дарить или получать подарки или участвовать в тех или иных представительских мероприятиях.</w:t>
      </w:r>
    </w:p>
    <w:p w14:paraId="2762E41A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3.4. При получении делового подарка или знаков делового гостеприимства работники Учреждения обязаны принимать меры по недопущению возможности возникновения конфликта интересов. </w:t>
      </w:r>
    </w:p>
    <w:p w14:paraId="17D58EA4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3.5. Работники Учреждения не вправе использовать служебное положение в личных целях, включая использование имущества Учреждения, в том числе: </w:t>
      </w:r>
    </w:p>
    <w:p w14:paraId="76CDF135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для получения подарков, вознаграждения и иных выгод для себя лично и других лиц в обмен на оказание Учреждением каких-либо услуг, осуществления либо неосуществления определенных действий, передачи информации, составляющей коммерческую тайну; </w:t>
      </w:r>
    </w:p>
    <w:p w14:paraId="55AB70F8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для получения подарков, вознаграждения и иных выгод для себя лично и других лиц в процессе ведения дел Учреждения, в том числе, как до, так и после проведения переговоров о заключении гражданско-правовых договоров и иных сделок. </w:t>
      </w:r>
    </w:p>
    <w:p w14:paraId="2D19B788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3.6. Работникам Учреждения не рекомендуется принимать или передаривать подарки либо услуги в любом виде от третьих лиц в качестве благодарности за совершенную услугу или данный совет. </w:t>
      </w:r>
    </w:p>
    <w:p w14:paraId="4EA2A34A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3.7. Не допускается передавать и принимать подарки от Учреждения, его работников и представителей в виде денежных средств, как наличных, так и безналичных, независимо от валюты, а также в форме акций, опционов или иных ликвидных ценных бумаг. </w:t>
      </w:r>
    </w:p>
    <w:p w14:paraId="505F2147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3.8. Работники Учреждения должны оказываться от предложений, получения подарков, оплаты их расходов и т.п., когда подобные действия могут повлиять или создать впечатление о влиянии на исход сделки, результат проведения торгов, на принимаемые Учреждением решения и т.д. </w:t>
      </w:r>
    </w:p>
    <w:p w14:paraId="6C8C8100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3.9. Работники Учреждения не приемлют коррупции. Подарки не должны быть использованы для дачи/получения взяток или коррупции в любых ее проявлениях. </w:t>
      </w:r>
    </w:p>
    <w:p w14:paraId="653DBF87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3.10. Работник Учреждения не вправе предлагать третьим лицам или принимать от таковых подарки, выплаты, компенсации и т.п. стоимостью свыше 3000 (Трех тысяч) рублей или не совместимые с законной практикой деловых отношений. Если работнику Учреждения предлагаются подобные подарки или деньги, он обязан немедленно об этом руководителю Учреждения. </w:t>
      </w:r>
    </w:p>
    <w:p w14:paraId="0CE998DB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3.11. Работник Учреждения, которому при выполнении должностных обязанностей предлагаются подарки или иное вознаграждение, которые способны повлиять на подготавливаемые и/или принимаемые им решения или оказать влияние на его действие/ бездействие, должен: </w:t>
      </w:r>
    </w:p>
    <w:p w14:paraId="7899B1DE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отказаться от них и немедленно уведомить руководителя Учреждения о факте предложения подарка (вознаграждения); </w:t>
      </w:r>
    </w:p>
    <w:p w14:paraId="3B498736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исключить дальнейшие контакты с лицом, предложившим подарок или возна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граждение, если только это не связано со служебной необходимостью; </w:t>
      </w:r>
    </w:p>
    <w:p w14:paraId="0ED4FC4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подарок или вознаграждение не представляется возможным отклонить или возвратить, передать его с соответствующей служебной запиской для принятия соответствующих мер руководителю Учреждения и продолжить работу в установленном в Учреждении порядке над вопросом, с которым был связан подарок или вознаграждение. </w:t>
      </w:r>
    </w:p>
    <w:p w14:paraId="1BE02670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3.12. 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Учреждения обязан в письменной форме уведомить об этом должностных лиц, ответственных за противодействие коррупции, в соответствии с Положением о конфликте интересов, принятым в Учреждении. </w:t>
      </w:r>
    </w:p>
    <w:p w14:paraId="012F51F6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3.13. Работникам Учреждения запрещается: </w:t>
      </w:r>
    </w:p>
    <w:p w14:paraId="0F67F17C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самостоятельно принимать предложения от организаций или третьих лиц о вручении деловых подарков и об оказании знаков делового гостеприимства; </w:t>
      </w:r>
    </w:p>
    <w:p w14:paraId="21A7CE7C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принимать без согласования с руководителем Учреждения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14:paraId="3DA91F03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принимать деловые подарки и знаки делового гостеприимства в ходе проведения торгов и во время прямых переговоров при заключении договоров (контрактов); </w:t>
      </w:r>
    </w:p>
    <w:p w14:paraId="1C177B83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 </w:t>
      </w:r>
    </w:p>
    <w:p w14:paraId="4BEA2269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принимать подарки в виде наличных, безналичных денежных средств, ценных бумаг, драгоценных металлов. </w:t>
      </w:r>
    </w:p>
    <w:p w14:paraId="7036FD78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3.14. Учреждение может принять решение об участии в благотворительных мероприятиях, направленных на создание и упрочение имиджа Учреждения. При этом план и бюджет участия в данных мероприятиях утверждается руководителем Учреждения. </w:t>
      </w:r>
    </w:p>
    <w:p w14:paraId="08A6D0F2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3.15. В случае осуществления спонсорских, благотворительных программ Учреждение должно предварительно удостовериться, что предоставляемая Учреждением помощь не будет использована в коррупционных целях или иным незаконным путем. </w:t>
      </w:r>
    </w:p>
    <w:p w14:paraId="02AA7A35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3.16. При взаимодействии с лицами, занимающими должности государственной (муниципальной) службы, следует руководствоваться нормами, регулирующими этические нормы и правила служебного поведения государственных (муниципальных) служащих. </w:t>
      </w:r>
    </w:p>
    <w:p w14:paraId="611EEFC2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3.17. Неисполнение настоящих Правил может стать основанием для применения к работнику мер дисциплинарного, административного, уголовного и гражданско-правового характера в соответствии с действующим законодательством. </w:t>
      </w:r>
    </w:p>
    <w:p w14:paraId="7AE0E1A2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4. Область применения Правил</w:t>
      </w:r>
    </w:p>
    <w:p w14:paraId="203CF3DF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4.1. Настоящие Правила подлежат применению вне зависимости от того, каким образом передаются деловые подарки и знаки делового гостеприимства: напрямую или через посредников. </w:t>
      </w:r>
    </w:p>
    <w:p w14:paraId="5D647AC4" w14:textId="77777777" w:rsidR="000E242B" w:rsidRDefault="000E242B" w:rsidP="000E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4.2. Настоящие Правила являются обязательными для всех работников Учреждения в период работы в Учреждении. </w:t>
      </w:r>
    </w:p>
    <w:p w14:paraId="72C6995A" w14:textId="77777777" w:rsidR="00D43685" w:rsidRDefault="00D43685"/>
    <w:sectPr w:rsidR="00D43685" w:rsidSect="007A7D0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941D7" w14:textId="77777777" w:rsidR="005051B0" w:rsidRDefault="005051B0" w:rsidP="000E242B">
      <w:pPr>
        <w:spacing w:after="0" w:line="240" w:lineRule="auto"/>
      </w:pPr>
      <w:r>
        <w:separator/>
      </w:r>
    </w:p>
  </w:endnote>
  <w:endnote w:type="continuationSeparator" w:id="0">
    <w:p w14:paraId="6E77817F" w14:textId="77777777" w:rsidR="005051B0" w:rsidRDefault="005051B0" w:rsidP="000E2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fficinaSansBookC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OfficinaSansBoldC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PT Sans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22219" w14:textId="77777777" w:rsidR="005051B0" w:rsidRDefault="005051B0" w:rsidP="000E242B">
      <w:pPr>
        <w:spacing w:after="0" w:line="240" w:lineRule="auto"/>
      </w:pPr>
      <w:r>
        <w:separator/>
      </w:r>
    </w:p>
  </w:footnote>
  <w:footnote w:type="continuationSeparator" w:id="0">
    <w:p w14:paraId="21AEFD5C" w14:textId="77777777" w:rsidR="005051B0" w:rsidRDefault="005051B0" w:rsidP="000E2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9285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C64FCC6" w14:textId="77777777" w:rsidR="00BF5822" w:rsidRPr="007A7D0B" w:rsidRDefault="00BF5822">
        <w:pPr>
          <w:pStyle w:val="a8"/>
          <w:jc w:val="center"/>
          <w:rPr>
            <w:rFonts w:ascii="Times New Roman" w:hAnsi="Times New Roman" w:cs="Times New Roman"/>
          </w:rPr>
        </w:pPr>
        <w:r w:rsidRPr="007A7D0B">
          <w:rPr>
            <w:rFonts w:ascii="Times New Roman" w:hAnsi="Times New Roman" w:cs="Times New Roman"/>
          </w:rPr>
          <w:fldChar w:fldCharType="begin"/>
        </w:r>
        <w:r w:rsidRPr="007A7D0B">
          <w:rPr>
            <w:rFonts w:ascii="Times New Roman" w:hAnsi="Times New Roman" w:cs="Times New Roman"/>
          </w:rPr>
          <w:instrText>PAGE   \* MERGEFORMAT</w:instrText>
        </w:r>
        <w:r w:rsidRPr="007A7D0B">
          <w:rPr>
            <w:rFonts w:ascii="Times New Roman" w:hAnsi="Times New Roman" w:cs="Times New Roman"/>
          </w:rPr>
          <w:fldChar w:fldCharType="separate"/>
        </w:r>
        <w:r w:rsidR="00AB644E">
          <w:rPr>
            <w:rFonts w:ascii="Times New Roman" w:hAnsi="Times New Roman" w:cs="Times New Roman"/>
            <w:noProof/>
          </w:rPr>
          <w:t>37</w:t>
        </w:r>
        <w:r w:rsidRPr="007A7D0B">
          <w:rPr>
            <w:rFonts w:ascii="Times New Roman" w:hAnsi="Times New Roman" w:cs="Times New Roman"/>
          </w:rPr>
          <w:fldChar w:fldCharType="end"/>
        </w:r>
      </w:p>
    </w:sdtContent>
  </w:sdt>
  <w:p w14:paraId="29421179" w14:textId="77777777" w:rsidR="00BF5822" w:rsidRDefault="00BF582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E4395"/>
    <w:multiLevelType w:val="hybridMultilevel"/>
    <w:tmpl w:val="E856BD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95360"/>
    <w:multiLevelType w:val="hybridMultilevel"/>
    <w:tmpl w:val="BDBC53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6154D"/>
    <w:multiLevelType w:val="hybridMultilevel"/>
    <w:tmpl w:val="ABE637F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AD407B4"/>
    <w:multiLevelType w:val="hybridMultilevel"/>
    <w:tmpl w:val="677C85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23ED5"/>
    <w:multiLevelType w:val="multilevel"/>
    <w:tmpl w:val="98E4038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2149" w:hanging="144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6" w15:restartNumberingAfterBreak="0">
    <w:nsid w:val="47775DC6"/>
    <w:multiLevelType w:val="hybridMultilevel"/>
    <w:tmpl w:val="8580E9D8"/>
    <w:lvl w:ilvl="0" w:tplc="696CAC02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  <w:b/>
        <w:color w:val="C00000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516A28B0"/>
    <w:multiLevelType w:val="hybridMultilevel"/>
    <w:tmpl w:val="A2AC31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DA2D64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1E3448"/>
    <w:multiLevelType w:val="hybridMultilevel"/>
    <w:tmpl w:val="CE6E05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6B5A45"/>
    <w:multiLevelType w:val="hybridMultilevel"/>
    <w:tmpl w:val="8E1098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7B3E04"/>
    <w:multiLevelType w:val="hybridMultilevel"/>
    <w:tmpl w:val="CC3811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01165A"/>
    <w:multiLevelType w:val="hybridMultilevel"/>
    <w:tmpl w:val="8DC072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00"/>
    <w:rsid w:val="000020D8"/>
    <w:rsid w:val="00030300"/>
    <w:rsid w:val="000363A4"/>
    <w:rsid w:val="0004506E"/>
    <w:rsid w:val="0004719A"/>
    <w:rsid w:val="000E242B"/>
    <w:rsid w:val="000F41CF"/>
    <w:rsid w:val="00132319"/>
    <w:rsid w:val="001503F8"/>
    <w:rsid w:val="001B3219"/>
    <w:rsid w:val="001B47E0"/>
    <w:rsid w:val="001F2741"/>
    <w:rsid w:val="00251B36"/>
    <w:rsid w:val="002874F3"/>
    <w:rsid w:val="002A4E9D"/>
    <w:rsid w:val="002D4B00"/>
    <w:rsid w:val="0033080E"/>
    <w:rsid w:val="00331F37"/>
    <w:rsid w:val="0033476E"/>
    <w:rsid w:val="00344DAD"/>
    <w:rsid w:val="00346F7F"/>
    <w:rsid w:val="00351B4B"/>
    <w:rsid w:val="003C16F0"/>
    <w:rsid w:val="003C5CCB"/>
    <w:rsid w:val="003F6D03"/>
    <w:rsid w:val="00433CD7"/>
    <w:rsid w:val="004537DC"/>
    <w:rsid w:val="00461B50"/>
    <w:rsid w:val="00464AA6"/>
    <w:rsid w:val="004745F4"/>
    <w:rsid w:val="004D2AA2"/>
    <w:rsid w:val="005051B0"/>
    <w:rsid w:val="005649E7"/>
    <w:rsid w:val="005A51A6"/>
    <w:rsid w:val="005A6BE1"/>
    <w:rsid w:val="005D09BF"/>
    <w:rsid w:val="005D6528"/>
    <w:rsid w:val="00624689"/>
    <w:rsid w:val="006C0CB0"/>
    <w:rsid w:val="006E2834"/>
    <w:rsid w:val="007101F9"/>
    <w:rsid w:val="0072302F"/>
    <w:rsid w:val="007459C1"/>
    <w:rsid w:val="00756931"/>
    <w:rsid w:val="00757AEE"/>
    <w:rsid w:val="007A7D0B"/>
    <w:rsid w:val="007B0D95"/>
    <w:rsid w:val="007E1B66"/>
    <w:rsid w:val="008545E8"/>
    <w:rsid w:val="00867752"/>
    <w:rsid w:val="008B273B"/>
    <w:rsid w:val="008B3339"/>
    <w:rsid w:val="008C1DAF"/>
    <w:rsid w:val="00911108"/>
    <w:rsid w:val="00937E6D"/>
    <w:rsid w:val="00977B1B"/>
    <w:rsid w:val="00992C37"/>
    <w:rsid w:val="009C3034"/>
    <w:rsid w:val="009C3208"/>
    <w:rsid w:val="009D59D7"/>
    <w:rsid w:val="009F0386"/>
    <w:rsid w:val="009F2EE8"/>
    <w:rsid w:val="009F6633"/>
    <w:rsid w:val="00A63518"/>
    <w:rsid w:val="00A77557"/>
    <w:rsid w:val="00AB644E"/>
    <w:rsid w:val="00AB6768"/>
    <w:rsid w:val="00B1311F"/>
    <w:rsid w:val="00B17BA4"/>
    <w:rsid w:val="00B2758C"/>
    <w:rsid w:val="00B458D7"/>
    <w:rsid w:val="00B4617E"/>
    <w:rsid w:val="00BB2E4C"/>
    <w:rsid w:val="00BD5C05"/>
    <w:rsid w:val="00BF5822"/>
    <w:rsid w:val="00C46714"/>
    <w:rsid w:val="00C46F64"/>
    <w:rsid w:val="00C50C26"/>
    <w:rsid w:val="00C62926"/>
    <w:rsid w:val="00C85137"/>
    <w:rsid w:val="00CA7812"/>
    <w:rsid w:val="00D322FF"/>
    <w:rsid w:val="00D43685"/>
    <w:rsid w:val="00D52475"/>
    <w:rsid w:val="00D97093"/>
    <w:rsid w:val="00DE4CC1"/>
    <w:rsid w:val="00E15831"/>
    <w:rsid w:val="00EF4C3C"/>
    <w:rsid w:val="00F01CD1"/>
    <w:rsid w:val="00F5596C"/>
    <w:rsid w:val="00F73B91"/>
    <w:rsid w:val="00F832A7"/>
    <w:rsid w:val="00FC480B"/>
    <w:rsid w:val="00FD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890DB"/>
  <w15:docId w15:val="{7ADFB202-0BDF-480A-B9BB-7C04E0E9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242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242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E242B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rsid w:val="000E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0E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0E242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E242B"/>
    <w:rPr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0E2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E242B"/>
  </w:style>
  <w:style w:type="paragraph" w:styleId="aa">
    <w:name w:val="footer"/>
    <w:basedOn w:val="a"/>
    <w:link w:val="ab"/>
    <w:uiPriority w:val="99"/>
    <w:unhideWhenUsed/>
    <w:rsid w:val="000E2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E242B"/>
  </w:style>
  <w:style w:type="paragraph" w:styleId="ac">
    <w:name w:val="Balloon Text"/>
    <w:basedOn w:val="a"/>
    <w:link w:val="ad"/>
    <w:uiPriority w:val="99"/>
    <w:semiHidden/>
    <w:unhideWhenUsed/>
    <w:rsid w:val="000E2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E242B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0E242B"/>
    <w:pPr>
      <w:ind w:left="720"/>
      <w:contextualSpacing/>
    </w:pPr>
  </w:style>
  <w:style w:type="paragraph" w:customStyle="1" w:styleId="Default">
    <w:name w:val="Default"/>
    <w:uiPriority w:val="99"/>
    <w:semiHidden/>
    <w:rsid w:val="000E242B"/>
    <w:pPr>
      <w:autoSpaceDE w:val="0"/>
      <w:autoSpaceDN w:val="0"/>
      <w:adjustRightInd w:val="0"/>
      <w:spacing w:after="0" w:line="240" w:lineRule="auto"/>
    </w:pPr>
    <w:rPr>
      <w:rFonts w:ascii="OfficinaSansBookC" w:hAnsi="OfficinaSansBookC" w:cs="OfficinaSansBookC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semiHidden/>
    <w:rsid w:val="000E242B"/>
    <w:pPr>
      <w:spacing w:line="321" w:lineRule="atLeast"/>
    </w:pPr>
    <w:rPr>
      <w:rFonts w:cstheme="minorBidi"/>
      <w:color w:val="auto"/>
    </w:rPr>
  </w:style>
  <w:style w:type="paragraph" w:customStyle="1" w:styleId="Pa3">
    <w:name w:val="Pa3"/>
    <w:basedOn w:val="Default"/>
    <w:next w:val="Default"/>
    <w:uiPriority w:val="99"/>
    <w:semiHidden/>
    <w:rsid w:val="000E242B"/>
    <w:pPr>
      <w:spacing w:line="28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semiHidden/>
    <w:rsid w:val="000E242B"/>
    <w:pPr>
      <w:spacing w:line="16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18">
    <w:name w:val="Pa18"/>
    <w:basedOn w:val="Default"/>
    <w:next w:val="Default"/>
    <w:uiPriority w:val="99"/>
    <w:semiHidden/>
    <w:rsid w:val="000E242B"/>
    <w:pPr>
      <w:spacing w:line="241" w:lineRule="atLeast"/>
    </w:pPr>
    <w:rPr>
      <w:rFonts w:cstheme="minorBidi"/>
      <w:color w:val="auto"/>
    </w:rPr>
  </w:style>
  <w:style w:type="paragraph" w:customStyle="1" w:styleId="Pa19">
    <w:name w:val="Pa19"/>
    <w:basedOn w:val="Default"/>
    <w:next w:val="Default"/>
    <w:uiPriority w:val="99"/>
    <w:semiHidden/>
    <w:rsid w:val="000E242B"/>
    <w:pPr>
      <w:spacing w:line="241" w:lineRule="atLeast"/>
    </w:pPr>
    <w:rPr>
      <w:rFonts w:cstheme="minorBidi"/>
      <w:color w:val="auto"/>
    </w:rPr>
  </w:style>
  <w:style w:type="paragraph" w:customStyle="1" w:styleId="Pa8">
    <w:name w:val="Pa8"/>
    <w:basedOn w:val="Default"/>
    <w:next w:val="Default"/>
    <w:uiPriority w:val="99"/>
    <w:semiHidden/>
    <w:rsid w:val="000E242B"/>
    <w:pPr>
      <w:spacing w:line="237" w:lineRule="atLeast"/>
    </w:pPr>
    <w:rPr>
      <w:rFonts w:ascii="OfficinaSansBoldC" w:hAnsi="OfficinaSansBoldC" w:cstheme="minorBidi"/>
      <w:color w:val="auto"/>
    </w:rPr>
  </w:style>
  <w:style w:type="paragraph" w:customStyle="1" w:styleId="Pa14">
    <w:name w:val="Pa14"/>
    <w:basedOn w:val="Default"/>
    <w:next w:val="Default"/>
    <w:uiPriority w:val="99"/>
    <w:semiHidden/>
    <w:rsid w:val="000E242B"/>
    <w:pPr>
      <w:spacing w:line="237" w:lineRule="atLeast"/>
    </w:pPr>
    <w:rPr>
      <w:rFonts w:ascii="OfficinaSansBoldC" w:hAnsi="OfficinaSansBoldC" w:cstheme="minorBidi"/>
      <w:color w:val="auto"/>
    </w:rPr>
  </w:style>
  <w:style w:type="paragraph" w:customStyle="1" w:styleId="Pa1">
    <w:name w:val="Pa1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27">
    <w:name w:val="Pa27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28">
    <w:name w:val="Pa28"/>
    <w:basedOn w:val="Default"/>
    <w:next w:val="Default"/>
    <w:uiPriority w:val="99"/>
    <w:semiHidden/>
    <w:rsid w:val="000E242B"/>
    <w:pPr>
      <w:spacing w:line="141" w:lineRule="atLeast"/>
    </w:pPr>
    <w:rPr>
      <w:rFonts w:cstheme="minorBidi"/>
      <w:color w:val="auto"/>
    </w:rPr>
  </w:style>
  <w:style w:type="paragraph" w:customStyle="1" w:styleId="Pa15">
    <w:name w:val="Pa15"/>
    <w:basedOn w:val="Default"/>
    <w:next w:val="Default"/>
    <w:uiPriority w:val="99"/>
    <w:semiHidden/>
    <w:rsid w:val="000E242B"/>
    <w:pPr>
      <w:spacing w:line="141" w:lineRule="atLeast"/>
    </w:pPr>
    <w:rPr>
      <w:rFonts w:cstheme="minorBidi"/>
      <w:color w:val="auto"/>
    </w:rPr>
  </w:style>
  <w:style w:type="paragraph" w:customStyle="1" w:styleId="Pa10">
    <w:name w:val="Pa10"/>
    <w:basedOn w:val="Default"/>
    <w:next w:val="Default"/>
    <w:uiPriority w:val="99"/>
    <w:semiHidden/>
    <w:rsid w:val="000E242B"/>
    <w:pPr>
      <w:spacing w:line="201" w:lineRule="atLeast"/>
    </w:pPr>
    <w:rPr>
      <w:rFonts w:cstheme="minorBidi"/>
      <w:color w:val="auto"/>
    </w:rPr>
  </w:style>
  <w:style w:type="paragraph" w:customStyle="1" w:styleId="Pa30">
    <w:name w:val="Pa30"/>
    <w:basedOn w:val="Default"/>
    <w:next w:val="Default"/>
    <w:uiPriority w:val="99"/>
    <w:semiHidden/>
    <w:rsid w:val="000E242B"/>
    <w:pPr>
      <w:spacing w:line="237" w:lineRule="atLeast"/>
    </w:pPr>
    <w:rPr>
      <w:rFonts w:cstheme="minorBidi"/>
      <w:color w:val="auto"/>
    </w:rPr>
  </w:style>
  <w:style w:type="paragraph" w:customStyle="1" w:styleId="Pa6">
    <w:name w:val="Pa6"/>
    <w:basedOn w:val="Default"/>
    <w:next w:val="Default"/>
    <w:uiPriority w:val="99"/>
    <w:semiHidden/>
    <w:rsid w:val="000E242B"/>
    <w:pPr>
      <w:spacing w:line="181" w:lineRule="atLeast"/>
    </w:pPr>
    <w:rPr>
      <w:rFonts w:cstheme="minorBidi"/>
      <w:color w:val="auto"/>
    </w:rPr>
  </w:style>
  <w:style w:type="character" w:styleId="af">
    <w:name w:val="footnote reference"/>
    <w:basedOn w:val="a0"/>
    <w:uiPriority w:val="99"/>
    <w:semiHidden/>
    <w:unhideWhenUsed/>
    <w:rsid w:val="000E242B"/>
    <w:rPr>
      <w:vertAlign w:val="superscript"/>
    </w:rPr>
  </w:style>
  <w:style w:type="character" w:styleId="af0">
    <w:name w:val="Placeholder Text"/>
    <w:basedOn w:val="a0"/>
    <w:uiPriority w:val="99"/>
    <w:semiHidden/>
    <w:rsid w:val="000E242B"/>
    <w:rPr>
      <w:color w:val="808080"/>
    </w:rPr>
  </w:style>
  <w:style w:type="character" w:customStyle="1" w:styleId="A20">
    <w:name w:val="A2"/>
    <w:uiPriority w:val="99"/>
    <w:rsid w:val="000E242B"/>
    <w:rPr>
      <w:rFonts w:ascii="OfficinaSansBookC" w:hAnsi="OfficinaSansBookC" w:cs="OfficinaSansBookC" w:hint="default"/>
      <w:color w:val="000000"/>
      <w:sz w:val="36"/>
      <w:szCs w:val="36"/>
    </w:rPr>
  </w:style>
  <w:style w:type="character" w:customStyle="1" w:styleId="A30">
    <w:name w:val="A3"/>
    <w:uiPriority w:val="99"/>
    <w:rsid w:val="000E242B"/>
    <w:rPr>
      <w:rFonts w:ascii="PT Sans" w:hAnsi="PT Sans" w:cs="PT Sans" w:hint="default"/>
      <w:b/>
      <w:bCs/>
      <w:color w:val="000000"/>
      <w:sz w:val="19"/>
      <w:szCs w:val="19"/>
    </w:rPr>
  </w:style>
  <w:style w:type="character" w:customStyle="1" w:styleId="A80">
    <w:name w:val="A8"/>
    <w:uiPriority w:val="99"/>
    <w:rsid w:val="000E242B"/>
    <w:rPr>
      <w:rFonts w:ascii="OfficinaSansBookC" w:hAnsi="OfficinaSansBookC" w:cs="OfficinaSansBookC" w:hint="default"/>
      <w:color w:val="000000"/>
      <w:sz w:val="18"/>
      <w:szCs w:val="18"/>
    </w:rPr>
  </w:style>
  <w:style w:type="character" w:customStyle="1" w:styleId="A14">
    <w:name w:val="A14"/>
    <w:uiPriority w:val="99"/>
    <w:rsid w:val="000E242B"/>
    <w:rPr>
      <w:rFonts w:ascii="OfficinaSansBookC" w:hAnsi="OfficinaSansBookC" w:cs="OfficinaSansBookC" w:hint="default"/>
      <w:color w:val="000000"/>
    </w:rPr>
  </w:style>
  <w:style w:type="character" w:customStyle="1" w:styleId="A10">
    <w:name w:val="A10"/>
    <w:uiPriority w:val="99"/>
    <w:rsid w:val="000E242B"/>
    <w:rPr>
      <w:rFonts w:ascii="OfficinaSansBookC" w:hAnsi="OfficinaSansBookC" w:cs="OfficinaSansBookC" w:hint="default"/>
      <w:color w:val="000000"/>
      <w:sz w:val="20"/>
      <w:szCs w:val="20"/>
    </w:rPr>
  </w:style>
  <w:style w:type="character" w:customStyle="1" w:styleId="A90">
    <w:name w:val="A9"/>
    <w:uiPriority w:val="99"/>
    <w:rsid w:val="000E242B"/>
    <w:rPr>
      <w:rFonts w:ascii="OfficinaSansBookC" w:hAnsi="OfficinaSansBookC" w:cs="OfficinaSansBookC" w:hint="default"/>
      <w:color w:val="000000"/>
      <w:sz w:val="13"/>
      <w:szCs w:val="13"/>
    </w:rPr>
  </w:style>
  <w:style w:type="character" w:customStyle="1" w:styleId="A70">
    <w:name w:val="A7"/>
    <w:uiPriority w:val="99"/>
    <w:rsid w:val="000E242B"/>
    <w:rPr>
      <w:rFonts w:ascii="OfficinaSansBookC" w:hAnsi="OfficinaSansBookC" w:cs="OfficinaSansBookC" w:hint="default"/>
      <w:color w:val="000000"/>
      <w:sz w:val="10"/>
      <w:szCs w:val="10"/>
    </w:rPr>
  </w:style>
  <w:style w:type="table" w:styleId="af1">
    <w:name w:val="Table Grid"/>
    <w:basedOn w:val="a1"/>
    <w:uiPriority w:val="39"/>
    <w:rsid w:val="000E24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0E24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0E24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0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1682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Коробова Юлия Валериевна</dc:creator>
  <cp:lastModifiedBy>игорь шималов</cp:lastModifiedBy>
  <cp:revision>3</cp:revision>
  <dcterms:created xsi:type="dcterms:W3CDTF">2021-07-28T10:18:00Z</dcterms:created>
  <dcterms:modified xsi:type="dcterms:W3CDTF">2021-07-28T14:41:00Z</dcterms:modified>
</cp:coreProperties>
</file>